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6" w:rsidRDefault="00C808E2" w:rsidP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right="13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Комитет общего и профессионального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A903B6" w:rsidRDefault="00C808E2" w:rsidP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«Ленинградский областной институт развития образования»</w:t>
      </w: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gjdgxs" w:colFirst="0" w:colLast="0"/>
      <w:bookmarkEnd w:id="0"/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3B6" w:rsidRDefault="00C808E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903B6" w:rsidRDefault="00C808E2" w:rsidP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государственного автономного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«Ленинградский областной институт развития образования» за 2017 год</w:t>
      </w: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42" w:rsidRDefault="00FB014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3B6" w:rsidRDefault="00C808E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92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A903B6" w:rsidRDefault="00C808E2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A903B6" w:rsidRDefault="00A903B6">
      <w:pPr>
        <w:pStyle w:val="normal"/>
        <w:rPr>
          <w:sz w:val="2"/>
          <w:szCs w:val="2"/>
        </w:rPr>
      </w:pPr>
    </w:p>
    <w:p w:rsidR="00A903B6" w:rsidRDefault="00A903B6">
      <w:pPr>
        <w:pStyle w:val="normal"/>
        <w:rPr>
          <w:sz w:val="2"/>
          <w:szCs w:val="2"/>
        </w:rPr>
      </w:pPr>
    </w:p>
    <w:p w:rsidR="00A903B6" w:rsidRDefault="00C808E2">
      <w:pPr>
        <w:pStyle w:val="normal"/>
        <w:widowControl w:val="0"/>
        <w:spacing w:line="276" w:lineRule="auto"/>
        <w:rPr>
          <w:sz w:val="2"/>
          <w:szCs w:val="2"/>
        </w:rPr>
        <w:sectPr w:rsidR="00A903B6">
          <w:pgSz w:w="11900" w:h="16840"/>
          <w:pgMar w:top="360" w:right="360" w:bottom="360" w:left="360" w:header="0" w:footer="3" w:gutter="0"/>
          <w:pgNumType w:start="1"/>
          <w:cols w:space="720"/>
        </w:sectPr>
      </w:pPr>
      <w:r>
        <w:br w:type="page"/>
      </w:r>
    </w:p>
    <w:p w:rsidR="00A903B6" w:rsidRDefault="00A903B6">
      <w:pPr>
        <w:pStyle w:val="normal"/>
        <w:widowControl w:val="0"/>
        <w:rPr>
          <w:sz w:val="2"/>
          <w:szCs w:val="2"/>
        </w:rPr>
        <w:sectPr w:rsidR="00A903B6">
          <w:type w:val="continuous"/>
          <w:pgSz w:w="11900" w:h="16840"/>
          <w:pgMar w:top="360" w:right="360" w:bottom="360" w:left="360" w:header="0" w:footer="3" w:gutter="0"/>
          <w:cols w:space="720"/>
        </w:sectPr>
      </w:pPr>
    </w:p>
    <w:p w:rsidR="00A903B6" w:rsidRDefault="00C808E2">
      <w:pPr>
        <w:pStyle w:val="normal"/>
        <w:widowControl w:val="0"/>
        <w:ind w:left="506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Рассмотрено на заседании Ученого совета </w:t>
      </w:r>
    </w:p>
    <w:p w:rsidR="00A903B6" w:rsidRDefault="00C808E2">
      <w:pPr>
        <w:pStyle w:val="normal"/>
        <w:widowControl w:val="0"/>
        <w:ind w:left="506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протокол № 2    от 19 марта 2018 г.</w:t>
      </w:r>
    </w:p>
    <w:p w:rsidR="00A903B6" w:rsidRDefault="00A903B6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3B6" w:rsidRDefault="00A903B6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3B6" w:rsidRDefault="00C808E2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ГАОУ ДПО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«Ленинградский областной институт развития образования»</w:t>
      </w:r>
    </w:p>
    <w:p w:rsidR="00A903B6" w:rsidRDefault="00C808E2">
      <w:pPr>
        <w:pStyle w:val="normal"/>
        <w:widowControl w:val="0"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института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организации», приложением № 6 «Показатели деятельности организации 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образования, подлежащей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к приказу Министерства образования и науки Российской Федерации от 10 декабря 2013 г. № 1324 и на основании распоряжения института от 16 февраля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53 «О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ГАОУ ДПО «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Ленинградский областной институт развития образования».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информирования потребителей образовательных услуг, общественности и социальных партнеров о результатах деятельности института и перспективах его развития.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«Ленинградский областной институт развития образования» (далее – Институт) создано путем изменения типа существующего государственного образовательного учреждения дополнительного профессионального образования «Ленинградский областной институт развит</w:t>
      </w:r>
      <w:r>
        <w:rPr>
          <w:rFonts w:ascii="Times New Roman" w:eastAsia="Times New Roman" w:hAnsi="Times New Roman" w:cs="Times New Roman"/>
          <w:sz w:val="28"/>
          <w:szCs w:val="28"/>
        </w:rPr>
        <w:t>ия образования» в соответствии с распоряжением Правительства Ленинградской области от 04 апреля 2011 г. № 142-р. Ленинградский областной институт повышения квалификации учителей (ЛИПКУ) основан в 1937 году; приказ по Лен. ИПККНО от 15.03.1937 г. № 17.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итут является некоммерческой организацией, созданной для обеспечения потребностей региональной системы образования, отраслей социальной сферы в дополнительном профессиональном образовании, а именно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6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оказания образовательных услуг по повышению квалификации и профессиональной переподготовке педагогических кадров и иных категорий работников социальной сферы региона;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научно-методического обеспечения реализации государственной политики в сфере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региона.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Института осуществляется на основании Устава. Устав Института утвержден распоряжением Комитета общего и профессионального образования Ленинградской области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01.04.2015 г. № 763-р (с изменениями от 17.10.2016 г. №3264-р). Полномочия и функции Учредителя Института осуществляет Комитет общего и профессионального образования Ленинградской области.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от 15 июл</w:t>
      </w:r>
      <w:r>
        <w:rPr>
          <w:rFonts w:ascii="Times New Roman" w:eastAsia="Times New Roman" w:hAnsi="Times New Roman" w:cs="Times New Roman"/>
          <w:sz w:val="28"/>
          <w:szCs w:val="28"/>
        </w:rPr>
        <w:t>я 2013 г.             № 0000614 серия 78ЛО1 выдана Институту Комитетом по образованию Правительства Санкт-Петербурга. Срок действия лицензии - бессрочно.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Официальный сайт Института (</w:t>
      </w:r>
      <w:hyperlink r:id="rId5">
        <w:proofErr w:type="gramEnd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www.loiro.ru</w:t>
        </w:r>
        <w:proofErr w:type="gramStart"/>
      </w:hyperlink>
      <w:r>
        <w:rPr>
          <w:rFonts w:ascii="Times New Roman" w:eastAsia="Times New Roman" w:hAnsi="Times New Roman" w:cs="Times New Roman"/>
          <w:sz w:val="28"/>
          <w:szCs w:val="28"/>
        </w:rPr>
        <w:t>) в полной мере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вует требованиям, предъявляемым статьей 29 Федерального закона от 29 декабря 2012 г. № 273-ФЗ «Об образовании в Российской Федерации» и постановлением Правительства Российской Федерации от 10 июля 2013 г. № 582 «Об утверждении Правил размещения на официаль</w:t>
      </w:r>
      <w:r>
        <w:rPr>
          <w:rFonts w:ascii="Times New Roman" w:eastAsia="Times New Roman" w:hAnsi="Times New Roman" w:cs="Times New Roman"/>
          <w:sz w:val="28"/>
          <w:szCs w:val="28"/>
        </w:rPr>
        <w:t>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  <w:proofErr w:type="gramEnd"/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названными нормативно-правовыми актами на сайте размещается информация о деятельности Инсти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тута в срок не позднее 10 рабочих дней с момента ее изменения. Институт имеет два сервера дистанционного обучения: </w:t>
      </w:r>
      <w:hyperlink r:id="rId6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http://ict.loiro.ru/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http://moodle.loiro.ru/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и уп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равление Институтом.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в целях повышения эффективности деятельности в 2017 года была проведена оптимизация структуры Института: упразднены факультеты, расширен функционал кафедр в части включённости их в управление деятельностью Института. В итог</w:t>
      </w:r>
      <w:r>
        <w:rPr>
          <w:rFonts w:ascii="Times New Roman" w:eastAsia="Times New Roman" w:hAnsi="Times New Roman" w:cs="Times New Roman"/>
          <w:sz w:val="28"/>
          <w:szCs w:val="28"/>
        </w:rPr>
        <w:t>е организационную структуру Института составили следующие подразделения: ректорат, 13 кафедр,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центра, 11 отделов, 3 сектора, библиотека, 1 ресурсный центр, расположенный во Всеволожском муниципальном районе.</w:t>
      </w:r>
      <w:r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данной структурой в Институте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должности руководящих работников, научно-педагогических, педагогических работников, инженерно-технического, учебно-вспомогательного и административно-хозяйственного персонала.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Институтом осуществляется в соответствии с законодател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ьством Российской Федерации, Уставом Института и строится на принципах единоначалия и коллегиальности. Высшим уровнем административной структуры Института является ректорат, возглавляемый ректором. 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 – О.В. Ковальчук, доктор педагогических наук, профессор, Заслуженный учитель РФ – осуществляет непосредственное руководство Институтом с 2013 года (назначена на должность по итогам конкурса и в соответствии с законодательством Ленинградской области;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Комитета общего и профессионального образования Ленинградской области от 13.03.2013 г. № 22-лс).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важнейшими направлениями деятельности Института осуществляют проректоры: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М.А. Шаталов, проректор по учебно-методической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доктор педагогических наук, доцент.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В.П. Панасюк, проректор по научно-методической деятельности, доктор педагогических наук, профессор.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А.М.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проректор по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обеспечению образовательной деятельности и комплексной</w:t>
      </w:r>
      <w:r>
        <w:rPr>
          <w:rFonts w:ascii="Arial" w:eastAsia="Arial" w:hAnsi="Arial" w:cs="Arial"/>
          <w:color w:val="7D8E69"/>
          <w:sz w:val="17"/>
          <w:szCs w:val="1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безопасности, кандидат педагогиче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>, доцент.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В.И. Реброва, проректор по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развитию и экономике образовательных проектов,</w:t>
      </w:r>
      <w:r>
        <w:rPr>
          <w:rFonts w:ascii="Arial" w:eastAsia="Arial" w:hAnsi="Arial" w:cs="Arial"/>
          <w:color w:val="7D8E69"/>
          <w:sz w:val="17"/>
          <w:szCs w:val="1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Коллегиальные органы управления: Наблюдательный совет. Общее собрание (Конференция). Ученый совет. Учебно-методический совет.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ятельность данных органов регламентирована локальными нормативными актами. Решения, затрагивающие права слушателей и работников Института, принимаются с учетом мнения коллегиальных органов.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Кадровый состав Института.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численность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– 191 чел</w:t>
      </w:r>
      <w:r>
        <w:rPr>
          <w:rFonts w:ascii="Times New Roman" w:eastAsia="Times New Roman" w:hAnsi="Times New Roman" w:cs="Times New Roman"/>
          <w:sz w:val="28"/>
          <w:szCs w:val="28"/>
        </w:rPr>
        <w:t>овек (из них 25 внешних совместителей). Из них 17 человек имеют ученую степень доктора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 и </w:t>
      </w:r>
      <w:r>
        <w:rPr>
          <w:rFonts w:ascii="Times New Roman" w:eastAsia="Times New Roman" w:hAnsi="Times New Roman" w:cs="Times New Roman"/>
          <w:sz w:val="28"/>
          <w:szCs w:val="28"/>
        </w:rPr>
        <w:t>70 ч</w:t>
      </w:r>
      <w:r>
        <w:rPr>
          <w:rFonts w:ascii="Times New Roman" w:eastAsia="Times New Roman" w:hAnsi="Times New Roman" w:cs="Times New Roman"/>
          <w:sz w:val="28"/>
          <w:szCs w:val="28"/>
        </w:rPr>
        <w:t>еловек – ученую степень кандидата наук.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Удостоены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почетных званий: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«Заслуженный учитель РФ»; «Заслуженный врач РФ»; «Заслуженный работник высшей школы»  –</w:t>
      </w:r>
      <w:r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ч</w:t>
      </w:r>
      <w:r>
        <w:rPr>
          <w:rFonts w:ascii="Times New Roman" w:eastAsia="Times New Roman" w:hAnsi="Times New Roman" w:cs="Times New Roman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«Почетный работник общего образования РФ»; «Почетный работник среднего профессионального образования РФ»; «Почетный работник высшего профессионального образования РФ» –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903B6" w:rsidRDefault="00C808E2">
      <w:pPr>
        <w:pStyle w:val="normal"/>
        <w:widowControl w:val="0"/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профессорско-преподавательского состава – 56 лет (постоянный состав), научных работников – 54 года, прочих педагогических работников – 51 год (постоянный состав).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кадрового потенциала организации соответствует требованиям, предъявляемым к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циям дополнительного профессионального образования, и обеспечивает достаточно высокий уровень реализации дополнительных профессиональных программ. Тем не менее, в связи с вступлением в силу с 01.01.2017 года профессионального стандарта «Педагог 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обучения, профессионального образования и дополнительного профессионального образования» ведется работа по организации адресного повышения квалификации и профессиональной переподготовки представителей профессорско-преподавательского состава, прочих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с целью обеспечения соответствия профессиональных компетенций современным требованиям.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Учебно-методическая деятельность Института.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Основные содержательные направления учебно-методической деятельности Института в 2017 году определялись дополнительными профессиональными программами, ориентированными на совершенствование или формирование новых компетенций педагогов и руководителей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вательных организаций Ленинградской области, а также на повышение профессионального уровня педагогических работников в рамках имеющейся квалификации для успешной реализации задач по введению федеральных государственных образовательных стандартов общего и п</w:t>
      </w:r>
      <w:r>
        <w:rPr>
          <w:rFonts w:ascii="Times New Roman" w:eastAsia="Times New Roman" w:hAnsi="Times New Roman" w:cs="Times New Roman"/>
          <w:sz w:val="28"/>
          <w:szCs w:val="28"/>
        </w:rPr>
        <w:t>рофессионального образования, стандартов для обучающихся с ОВЗ.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дополнительных профессиональных программах был сделан акцент на методическое обеспечение введения федеральных государственных образовательных стандартов, на подготовку введения професс</w:t>
      </w:r>
      <w:r>
        <w:rPr>
          <w:rFonts w:ascii="Times New Roman" w:eastAsia="Times New Roman" w:hAnsi="Times New Roman" w:cs="Times New Roman"/>
          <w:sz w:val="28"/>
          <w:szCs w:val="28"/>
        </w:rPr>
        <w:t>ионального стандарта педагога с учетом профессиональных затруднений и дефицитов педагогических работников региона. Кроме того, были разработаны и реализованы дополнительные профессиональные программы для работников социальной сферы.</w:t>
      </w:r>
    </w:p>
    <w:p w:rsidR="00A903B6" w:rsidRDefault="00C808E2">
      <w:pPr>
        <w:pStyle w:val="normal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учебн</w:t>
      </w:r>
      <w:r>
        <w:rPr>
          <w:rFonts w:ascii="Times New Roman" w:eastAsia="Times New Roman" w:hAnsi="Times New Roman" w:cs="Times New Roman"/>
          <w:sz w:val="28"/>
          <w:szCs w:val="28"/>
        </w:rPr>
        <w:t>о-методической деятельности Института в 2017 году осуществлялось по следующим позициям: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разработки, содержания и реализации дополнительных профессиональных программ повышения квалификации и профессиональной переподготовки;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разовательной деятельности Института, целью которой является обеспечение высокого качества дополнительного профессионального образования и развитие системы непрерывного образования педагогических работников с учетом актуальных и перспективных потребностей </w:t>
      </w:r>
      <w:r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эффективности научно-методического сопровождения реализации образовательных программ общего, дополнительного и профессионального образования в связи с введением федеральных государственных образовательных стандартов общего и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в Институте велась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17"/>
        </w:tabs>
        <w:spacing w:line="360" w:lineRule="auto"/>
        <w:ind w:firstLine="5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введению системы документооборота на основе электронных форм документов, электронной записи слушателей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профессиональным программам (профессиональной переподго</w:t>
      </w:r>
      <w:r>
        <w:rPr>
          <w:rFonts w:ascii="Times New Roman" w:eastAsia="Times New Roman" w:hAnsi="Times New Roman" w:cs="Times New Roman"/>
          <w:sz w:val="28"/>
          <w:szCs w:val="28"/>
        </w:rPr>
        <w:t>товки и повышения квалификации);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50"/>
        </w:tabs>
        <w:spacing w:line="360" w:lineRule="auto"/>
        <w:ind w:firstLine="5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совершенствованию учебно-методического обеспечения реализации дополнительных профессиональных программ;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46"/>
        </w:tabs>
        <w:spacing w:line="360" w:lineRule="auto"/>
        <w:ind w:firstLine="5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наращиванию потенциала дистанционных форм обучения;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46"/>
        </w:tabs>
        <w:spacing w:line="360" w:lineRule="auto"/>
        <w:ind w:firstLine="5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развитию материально-технической базы Института для внедрения иннов</w:t>
      </w:r>
      <w:r>
        <w:rPr>
          <w:rFonts w:ascii="Times New Roman" w:eastAsia="Times New Roman" w:hAnsi="Times New Roman" w:cs="Times New Roman"/>
          <w:sz w:val="28"/>
          <w:szCs w:val="28"/>
        </w:rPr>
        <w:t>ационных технологий в образовательную деятельность;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46"/>
        </w:tabs>
        <w:spacing w:line="360" w:lineRule="auto"/>
        <w:ind w:firstLine="5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изучению потребностей работодателей в образовательных услугах по повышению квалификации и профессиональной переподготовке работников социальной сферы;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46"/>
        </w:tabs>
        <w:spacing w:line="360" w:lineRule="auto"/>
        <w:ind w:firstLine="5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реализацию гибких моделей повышения квалификации (в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моделей встроенного и корпоративного повышения квалификации, обучения муниципальных управленческих команд) и профессиональной переподготовки, отвечающих реальным потребностям работодателей;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46"/>
        </w:tabs>
        <w:spacing w:line="36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расширению перечня образовательных услуг, соотнесенных с потребностями региона в профессиональной переподготовке и повышении квалификации педагогических работников, работников социальной сферы;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41"/>
        </w:tabs>
        <w:spacing w:line="36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расширению спектра платных образовательных услуг и развитие вн</w:t>
      </w:r>
      <w:r>
        <w:rPr>
          <w:rFonts w:ascii="Times New Roman" w:eastAsia="Times New Roman" w:hAnsi="Times New Roman" w:cs="Times New Roman"/>
          <w:sz w:val="28"/>
          <w:szCs w:val="28"/>
        </w:rPr>
        <w:t>ебюджетной деятельности Института;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850"/>
        </w:tabs>
        <w:spacing w:line="36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расширению партнерских связей Института, в том числе по обеспечению функционирования на базе Института филиала ФГБУ «Президентская библиотека имени Б.Н. Ельцина».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качества дополнитель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>ных профессиональных программ представляется необходимым создание условий для разработки и реализации дифференцированных программ, ориентированных на удовлетворение индивидуальных образовательно-профессиональных запросов педагогов и руководителей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организаций, построение индивидуальных образовательных траекторий их профессионального роста. Кроме того, актуальным представляется представление ряда из программ (особенно программ профессиональной переподготовки) для прохождения процедуры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онально-общественной аккредитации.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результаты.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обучение проводилось по 228 дополнительным профессиональным программам, из них 195 – это программы повышения квалификации, 33 – программы профессиональной переподготовки.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полученных на реализацию Государственного задания, завершили профессиональную переподготовку 486 человек, повысили квалификацию на курсах повышения квалификации 5678 человек. В семинарах приняли участие 3550 человек.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профессиональную переподготов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ку и повысившие квалификацию были работниками: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дошкольных образовательных организаций: 1183 человека;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общеобразовательных организаций: 4079 человек;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организаций дополнительного образования детей: 491 человек;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профессиональных образовательных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заций: 344 человека;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организаций высшего образования: 17 человек;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специалисты комитетов образования муниципальных районов, муниципальных методических служб: 20 человек;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специалисты организаций для детей, оставшихся без попечения родителей: 30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нормативов государственного задания в части повышения квалификации составило: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количеству групп: 100%;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количеству слушателей: 105,6%;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части профессиональной переподготовки педагогических кадров региона: 105,65%.</w:t>
      </w:r>
    </w:p>
    <w:p w:rsidR="00A903B6" w:rsidRDefault="00C808E2">
      <w:pPr>
        <w:pStyle w:val="normal"/>
        <w:widowControl w:val="0"/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численность слушателей, обучившихся по дополнительным профессиональным программам в течение года (за счет средств, полученных на реализацию Государственного задания, и за счет средств от реализации платных образовательных услуг), составила 11 136 чел</w:t>
      </w:r>
      <w:r>
        <w:rPr>
          <w:rFonts w:ascii="Times New Roman" w:eastAsia="Times New Roman" w:hAnsi="Times New Roman" w:cs="Times New Roman"/>
          <w:sz w:val="28"/>
          <w:szCs w:val="28"/>
        </w:rPr>
        <w:t>овек. Из них по программам повышения квалификации было обучено 10 036 человек, а по программам профессиональной переподготовки – 1100 человек.</w:t>
      </w:r>
    </w:p>
    <w:p w:rsidR="00A903B6" w:rsidRDefault="00C808E2">
      <w:pPr>
        <w:pStyle w:val="normal"/>
        <w:widowControl w:val="0"/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специализированных курсах по организации инклюзивного образования детей-инвалидов, детей с ОВЗ за год за счет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 субсидий обучились 374 педагогических работника.</w:t>
      </w:r>
    </w:p>
    <w:p w:rsidR="00A903B6" w:rsidRDefault="00C808E2">
      <w:pPr>
        <w:pStyle w:val="normal"/>
        <w:widowControl w:val="0"/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в рамках государственного задания было проведено 135 семинаров. Общее количество участников семинаров – 3550 человек. Из них в семинарах по актуальным проблемам развития образования при</w:t>
      </w:r>
      <w:r>
        <w:rPr>
          <w:rFonts w:ascii="Times New Roman" w:eastAsia="Times New Roman" w:hAnsi="Times New Roman" w:cs="Times New Roman"/>
          <w:sz w:val="28"/>
          <w:szCs w:val="28"/>
        </w:rPr>
        <w:t>няло участие 800 человек, по организации и проведению Всероссийских проверочных работ – 150 человек.</w:t>
      </w:r>
    </w:p>
    <w:p w:rsidR="00A903B6" w:rsidRDefault="00C808E2">
      <w:pPr>
        <w:pStyle w:val="normal"/>
        <w:widowControl w:val="0"/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структурные подразделения Института принимали активное участие в реализации платных образовательных услуг. Всего по дополнительным 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программам повышения квалификации на внебюджетной основе обучилось 4358 человек, завершили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профессиональным программам профессиональной переподготовки – 614 человек. В семинарах и конференциях, реализуемых на платной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, приняли участие 1100 человек.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слушателей осуществлялось по очной форме с применением инновационных технологий,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форме, заочной форме. Также Институтом достаточно эффективно решалась задача оптимизации образовательного процесса через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дистанционных образовательных технологий в образовательный процесс.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Дистанционные образовательные технологии реализовывались через системы дистанционного обучения; проведение видеоконференций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дистанционную поддержку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платформы дистанционного обучения и ресурсов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2017 году было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разработано 96 дополнительных профессиональных образовательных программ с применением ДОТ (85 – программ повышения квалификации и 11 программ профессиональной переподготовки), что составляет 54% от общего числа программ, разработанных в 2017 году.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курса</w:t>
      </w:r>
      <w:r>
        <w:rPr>
          <w:rFonts w:ascii="Times New Roman" w:eastAsia="Times New Roman" w:hAnsi="Times New Roman" w:cs="Times New Roman"/>
          <w:sz w:val="28"/>
          <w:szCs w:val="28"/>
        </w:rPr>
        <w:t>х повышения квалификации с применением дистанционных образовательных технологий повысили свой профессиональный уровень 6116 слушателей (3188 за счет бюджета, 2929 на внебюджетной основе). Профессиональную переподготовку с применением дистанционных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 технологий осуществили 561 чел., из них 269 за счет бюджетных средств, 292 чел. на внебюджетной основе.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2017 году в рамках реализации проекта 5.1 «Развитие национально-региональной системы независимой оценки качества общего образования через реал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проектов и создание национальных механизмов оценки качества» ФЦПРО на 2016-2020 годы было обеспечено повышение квалификации 11 учебных групп (264 человека), в том числе по дополнительным профессиональным программам подготовки к</w:t>
      </w:r>
      <w:r>
        <w:rPr>
          <w:rFonts w:ascii="Times New Roman" w:eastAsia="Times New Roman" w:hAnsi="Times New Roman" w:cs="Times New Roman"/>
          <w:sz w:val="28"/>
          <w:szCs w:val="28"/>
        </w:rPr>
        <w:t>андидатов в члены Региональных предметных комиссий ЕГЭ по математике, русскому языку, физике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химии, географии и биологии. 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развития практики дистанционных форм обучения профессорско-преподавательским составом Института была продолжена работа по 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ованию фонда лекций по дополнительным профессиональным программам (профессиональной переподготовке и повышению квалификации) в цифровом формате. Внедрению дистанционных образовательных технологий в образовательный процесс также  способствовала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>семинаров для сотрудников Института по проблемам дистанционного обучения и сетевого взаимодействия в образовательном процессе.</w:t>
      </w:r>
    </w:p>
    <w:p w:rsidR="00A903B6" w:rsidRDefault="00C808E2">
      <w:pPr>
        <w:pStyle w:val="normal"/>
        <w:widowControl w:val="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Продолжением работы, начатой в 2017 году, будет являться деятельность Института в качестве региональной инновационной площадки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программе «Развитие современной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смешанного и мобильного обучения».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информационного обеспечения учебного процесса повысилась за счет открытия на базе библиотеки ЛОИРО филиала ФГБУ «Президентская библиотека имени Б.Н. Ельцина», что позволило обеспечить доступ к полной электр</w:t>
      </w:r>
      <w:r>
        <w:rPr>
          <w:rFonts w:ascii="Times New Roman" w:eastAsia="Times New Roman" w:hAnsi="Times New Roman" w:cs="Times New Roman"/>
          <w:sz w:val="28"/>
          <w:szCs w:val="28"/>
        </w:rPr>
        <w:t>онной коллекции, содержащей более 250 тысяч полнотекстовых документов по истории, русскому языку, литературе, географии и праву.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качеством реализации дополнительных профессиональных программ в 2017 году осуществлялся посредством мониторинговых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исследований и внутренней системы оценки качества, включающей плановый контроль проведения учебных занятий, мониторинг загруженности аудиторного фонда, аудит качества дополнительных профессиональных программ, исследование удовлетворенности слушателей качес</w:t>
      </w:r>
      <w:r>
        <w:rPr>
          <w:rFonts w:ascii="Times New Roman" w:eastAsia="Times New Roman" w:hAnsi="Times New Roman" w:cs="Times New Roman"/>
          <w:sz w:val="28"/>
          <w:szCs w:val="28"/>
        </w:rPr>
        <w:t>твом учебных занятий, оценка соответствия результатов освоения дополнительных профессиональных программ заявленным в них требованиям.</w:t>
      </w:r>
      <w:proofErr w:type="gramEnd"/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обратной связи со слушателями, изучения их запросов организовано анкетирование слушателей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сетевых сервисов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При этом входное анкетирование предоставляет возможность проанализировать ожидаемые результаты обучения, познакомиться с результатами самооценки слушателями своего профессионального уровня. Итоговое анкетирование слушателей позволя</w:t>
      </w:r>
      <w:r>
        <w:rPr>
          <w:rFonts w:ascii="Times New Roman" w:eastAsia="Times New Roman" w:hAnsi="Times New Roman" w:cs="Times New Roman"/>
          <w:sz w:val="28"/>
          <w:szCs w:val="28"/>
        </w:rPr>
        <w:t>ет получить оценку потребителей образовательных услуг содержания дополнительных профессиональных программ с точки зрения актуальности и практической значимости, а также выявить уровень удовлетворенности организацией образовательного процесса.</w:t>
      </w:r>
    </w:p>
    <w:p w:rsidR="00A903B6" w:rsidRDefault="00C808E2">
      <w:pPr>
        <w:pStyle w:val="normal"/>
        <w:widowControl w:val="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монито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рингов удовлетворенности слушателей качеством образовательных услуг, оказанных ГАОУ ДПО «ЛОИРО», подтверждаются результатами исследования качества образовательной деятельности государственных образовательных организаций, подведомственных Комитету общего и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Ленинградской области,  проведенного Федеральным государственным бюджетным научным учреждением «Институт управления образованием Российской академии образования» (ФГБНУ «ИУО РАО»), в октябре 2017 года.</w:t>
      </w:r>
    </w:p>
    <w:p w:rsidR="00A903B6" w:rsidRDefault="00C808E2">
      <w:pPr>
        <w:pStyle w:val="normal"/>
        <w:widowControl w:val="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анкетирования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слушателей набрано 131,7 балла из 160 возможных, что  позволяет ГАОУ ДПО «ЛОИРО» попасть в так называемую «зеленую» зону рейтинга образовательных организаций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www.bus.gov.ru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3B6" w:rsidRDefault="00C808E2">
      <w:pPr>
        <w:pStyle w:val="normal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Научно-методическая и иная деятель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ность Института</w:t>
      </w:r>
      <w:r>
        <w:rPr>
          <w:rFonts w:ascii="Times New Roman" w:eastAsia="Times New Roman" w:hAnsi="Times New Roman" w:cs="Times New Roman"/>
          <w:sz w:val="28"/>
          <w:szCs w:val="28"/>
        </w:rPr>
        <w:t>, связанная с выполнением общественно-значимых работ в сфере образования и науки.</w:t>
      </w:r>
    </w:p>
    <w:p w:rsidR="00A903B6" w:rsidRDefault="00C808E2">
      <w:pPr>
        <w:pStyle w:val="normal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Научно-методическая деятельность ориентирована:</w:t>
      </w:r>
    </w:p>
    <w:p w:rsidR="00A903B6" w:rsidRDefault="00C808E2">
      <w:pPr>
        <w:pStyle w:val="normal"/>
        <w:widowControl w:val="0"/>
        <w:tabs>
          <w:tab w:val="left" w:pos="846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на развитие научного потенциала Института, отражающего профессиональную, социально ответственную, научно-ис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следовательскую готовность его кадров к инновационным преобразованиям с учетом изменений в обществе и образовании в целом и в дополнительном профессиональном образовании в частности;</w:t>
      </w:r>
    </w:p>
    <w:p w:rsidR="00A903B6" w:rsidRDefault="00C808E2">
      <w:pPr>
        <w:pStyle w:val="normal"/>
        <w:widowControl w:val="0"/>
        <w:tabs>
          <w:tab w:val="left" w:pos="9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на обеспечение эффективности научно-методического сопровождения реализа</w:t>
      </w:r>
      <w:r>
        <w:rPr>
          <w:rFonts w:ascii="Times New Roman" w:eastAsia="Times New Roman" w:hAnsi="Times New Roman" w:cs="Times New Roman"/>
          <w:sz w:val="28"/>
          <w:szCs w:val="28"/>
        </w:rPr>
        <w:t>ции образовательных программ общего, дополнительного и профессионального образования в связи с введением федеральных государственных образовательных стандартов общего и профессионального образования, а также федеральных государственных образовательных 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дартов для обучающихся с ОВЗ, федеральных государственных требований к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в системе дополнительного образования детей (спортивная и художественная направленность программ).</w:t>
      </w:r>
      <w:proofErr w:type="gramEnd"/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государственного 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научно – методической (исследовательской) деятельности Институтом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17 конференций, в которых приняло участие  2255 человек;  39 региональных мониторинговых исследований по актуальным проблемам развития регионального образования.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участие в анализе результатов всероссийских проверочных работ, подготовке статистико-аналитических отчётов о результатах ЕГЭ по форме Федерального института педагогических измерений (Москва).</w:t>
      </w:r>
    </w:p>
    <w:p w:rsidR="00A903B6" w:rsidRDefault="00C808E2">
      <w:pPr>
        <w:pStyle w:val="normal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 выпуск 4 номеров информационного научно-мето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дического журнала «Вестник ЛОИРО. Образование: ресурсы развития»; опубликованы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и научных издания, включая учебные и учебно-методические пособия, сборники научно-практических конференций. Выполнение плана редакционно-издательской деятельности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год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100%.</w:t>
      </w:r>
    </w:p>
    <w:p w:rsidR="00A903B6" w:rsidRDefault="00C808E2">
      <w:pPr>
        <w:pStyle w:val="normal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научно-методической деятельности Института можно назвать и  создание в конце 2017 года Ученым советом Института рабочей группы по организации работы по определению единой темы научно-методической деятельности института </w:t>
      </w:r>
      <w:r>
        <w:rPr>
          <w:rFonts w:ascii="Times New Roman" w:eastAsia="Times New Roman" w:hAnsi="Times New Roman" w:cs="Times New Roman"/>
          <w:sz w:val="28"/>
          <w:szCs w:val="28"/>
        </w:rPr>
        <w:t>в контексте приоритетов современной государственной политики в сфере образования.</w:t>
      </w:r>
    </w:p>
    <w:p w:rsidR="00A903B6" w:rsidRDefault="00A903B6">
      <w:pPr>
        <w:pStyle w:val="normal"/>
        <w:widowControl w:val="0"/>
        <w:spacing w:line="360" w:lineRule="auto"/>
        <w:rPr>
          <w:sz w:val="2"/>
          <w:szCs w:val="2"/>
        </w:rPr>
        <w:sectPr w:rsidR="00A903B6">
          <w:type w:val="continuous"/>
          <w:pgSz w:w="11900" w:h="16840"/>
          <w:pgMar w:top="360" w:right="360" w:bottom="360" w:left="360" w:header="0" w:footer="3" w:gutter="0"/>
          <w:cols w:space="720"/>
        </w:sectPr>
      </w:pPr>
    </w:p>
    <w:p w:rsidR="00A903B6" w:rsidRDefault="00C808E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Резервами совершенствования научно-методической деятельности Института необходимо считать: </w:t>
      </w:r>
    </w:p>
    <w:p w:rsidR="00A903B6" w:rsidRDefault="00C808E2">
      <w:pPr>
        <w:pStyle w:val="normal"/>
        <w:widowControl w:val="0"/>
        <w:numPr>
          <w:ilvl w:val="0"/>
          <w:numId w:val="2"/>
        </w:numPr>
        <w:tabs>
          <w:tab w:val="left" w:pos="985"/>
        </w:tabs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на Учёном совете скорректированной единой темы научно-методической (исследовательской) деятельности Института;</w:t>
      </w:r>
    </w:p>
    <w:p w:rsidR="00A903B6" w:rsidRDefault="00C808E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разработку на основе единой научно – методической (исследовательской) темы программы научно - методической (исследовательской) 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 института, ориентированной на дальнейшее прикладное использование ее результатов в научной, инновационной, образовательной, методической и издательской деятельности;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firstLine="74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участие научно-педагогических сотрудников, отдельных временных научных групп в выполнении на конкурсной основе научно-исследовательских и опытно-конструкторских работ;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и издание научных статей в изданиях, входящих в базу цитирования РИНЦ, междун</w:t>
      </w:r>
      <w:r>
        <w:rPr>
          <w:rFonts w:ascii="Times New Roman" w:eastAsia="Times New Roman" w:hAnsi="Times New Roman" w:cs="Times New Roman"/>
          <w:sz w:val="28"/>
          <w:szCs w:val="28"/>
        </w:rPr>
        <w:t>ародные базы цитирования;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работе в Институте молодых ученых: кандидатов наук в возрасте до 35 лет и докторов наук в возрасте до 40 лет;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модернизацию деятельности Редакционно-издательского совета Института.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и методическая соста</w:t>
      </w:r>
      <w:r>
        <w:rPr>
          <w:rFonts w:ascii="Times New Roman" w:eastAsia="Times New Roman" w:hAnsi="Times New Roman" w:cs="Times New Roman"/>
          <w:sz w:val="28"/>
          <w:szCs w:val="28"/>
        </w:rPr>
        <w:t>вляющая в деятельности Института была направлена:</w:t>
      </w:r>
    </w:p>
    <w:p w:rsidR="00A903B6" w:rsidRDefault="00A903B6">
      <w:pPr>
        <w:pStyle w:val="normal"/>
        <w:widowControl w:val="0"/>
        <w:spacing w:line="360" w:lineRule="auto"/>
        <w:rPr>
          <w:sz w:val="2"/>
          <w:szCs w:val="2"/>
        </w:rPr>
        <w:sectPr w:rsidR="00A903B6">
          <w:type w:val="continuous"/>
          <w:pgSz w:w="11900" w:h="16840"/>
          <w:pgMar w:top="360" w:right="360" w:bottom="360" w:left="360" w:header="0" w:footer="3" w:gutter="0"/>
          <w:cols w:space="720"/>
        </w:sectPr>
      </w:pP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эффективную деятельность сетевой модели взаимодействия методических служб региона;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совершенствование системы методического сопровождения образовательного процесса (поддержка и сопр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овождение образовательных стандартов нового поколения, учебного плана, образовательных и рабочих учебных программ); 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и сопровождение деятельности межуровневого учебно-методического объединения в системе образования Ленинградской области как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экспертно-профессионального сообщества региона.</w:t>
      </w:r>
    </w:p>
    <w:p w:rsidR="00A903B6" w:rsidRDefault="00A903B6">
      <w:pPr>
        <w:pStyle w:val="normal"/>
        <w:widowControl w:val="0"/>
        <w:tabs>
          <w:tab w:val="left" w:pos="985"/>
        </w:tabs>
        <w:spacing w:line="360" w:lineRule="auto"/>
        <w:jc w:val="both"/>
      </w:pPr>
    </w:p>
    <w:p w:rsidR="00A903B6" w:rsidRDefault="00A903B6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Другие виды работ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ГАОУ ДПО «ЛОИРО» проводилась широкая и разноплановая работа с ведущими российскими издательствами, специализирующимися на выпуске учебников для общеобразовательных и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альных образовательных организаций («Просвещение», корпорации «Российский учебник», «Русское слово» и др.). В частности, 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конференций,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семинаров-практикумов. Организовано проведение для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48 обзоров УМК,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6 видеоконференций,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скайп-семинара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3 мастер - класса, 2 круглых стола преимущественно по проблематике использования в образовательном процессе школы электронных учебников. Всего проведено 133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  Издательствами «Пр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освещение», «Русское слово», «Экзамен» открыты на базе ЛОИРО свои методические кабинеты.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аттестации педагогических работников, утвержденным Министерством образования и науки Российской Федерации от 07.04.2014 г. № 276, ГАОУ ДПО «ЛОИРО» в 2017 году проведена экспертиза и оформлено </w:t>
      </w:r>
      <w:r>
        <w:rPr>
          <w:rFonts w:ascii="Times New Roman" w:eastAsia="Times New Roman" w:hAnsi="Times New Roman" w:cs="Times New Roman"/>
          <w:sz w:val="28"/>
          <w:szCs w:val="28"/>
        </w:rPr>
        <w:t>3690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аттестационных дела по итогам атт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естации педагогических работников (на высшую категорию – </w:t>
      </w:r>
      <w:r>
        <w:rPr>
          <w:rFonts w:ascii="Times New Roman" w:eastAsia="Times New Roman" w:hAnsi="Times New Roman" w:cs="Times New Roman"/>
          <w:sz w:val="28"/>
          <w:szCs w:val="28"/>
        </w:rPr>
        <w:t>1687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на первую категорию </w:t>
      </w:r>
      <w:r>
        <w:rPr>
          <w:rFonts w:ascii="Times New Roman" w:eastAsia="Times New Roman" w:hAnsi="Times New Roman" w:cs="Times New Roman"/>
          <w:sz w:val="28"/>
          <w:szCs w:val="28"/>
        </w:rPr>
        <w:t>– 2003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соблюдения нормативных правил аттестации и прав педагогических работников упорядочена система представления заявлений и аттестационных материалов педагогиче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скими работниками в аттестационную комиссию.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количества заявлений на аттестацию принимается по электронной почте.</w:t>
      </w:r>
    </w:p>
    <w:p w:rsidR="00A903B6" w:rsidRDefault="00A903B6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Ресурсный потенциал Института.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Институте ведется в здании Института,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Санкт-Петербург, Чкаловский пр., 25А (Свидетельство о государственной регистрации права оперативного управления серия 78-АБ №142787). Здание является собственн</w:t>
      </w:r>
      <w:r>
        <w:rPr>
          <w:rFonts w:ascii="Times New Roman" w:eastAsia="Times New Roman" w:hAnsi="Times New Roman" w:cs="Times New Roman"/>
          <w:sz w:val="28"/>
          <w:szCs w:val="28"/>
        </w:rPr>
        <w:t>остью Ленинградской области. Общая площадь здания 3674,0 кв. м.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2017 году продолжена работа по обновлению материально-технической базы д</w:t>
      </w:r>
      <w:r>
        <w:rPr>
          <w:rFonts w:ascii="Times New Roman" w:eastAsia="Times New Roman" w:hAnsi="Times New Roman" w:cs="Times New Roman"/>
          <w:sz w:val="28"/>
          <w:szCs w:val="28"/>
        </w:rPr>
        <w:t>ля обеспечения образовательного процесса.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Институте 19 учебных аудиторий на 650 посадочных мест. Из них: 4 компьютерных класса, 19 аудиторий, оборудованных стационарно установленными экранами и мультимедиа-проекторами,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конференц-видеозал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с</w:t>
      </w:r>
      <w:r>
        <w:rPr>
          <w:rFonts w:ascii="Times New Roman" w:eastAsia="Times New Roman" w:hAnsi="Times New Roman" w:cs="Times New Roman"/>
          <w:sz w:val="28"/>
          <w:szCs w:val="28"/>
        </w:rPr>
        <w:t>вязи с 250 удаленными точками в Ленинградской области и других регионах Российской Федерации.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10 аудиторий оборудованы интерактивными досками, установлено программное и аппаратное обеспечение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2 конференц-зала на 70 посадочных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оборудованы акустической системой, выдвижным экраном, стационарно установленным проектором, интерактивной доской с короткофокусным проектором.</w:t>
      </w:r>
      <w:proofErr w:type="gramEnd"/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Актовый зал Института на 144 посадочных места оборудован акустической системой, выдвижным экраном, стационарно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становленным проектором, интерактивной доской с короткофокусным проектором, установлено программное и аппаратное обеспечение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имеется отдельная интерактивная доска.</w:t>
      </w:r>
      <w:proofErr w:type="gramEnd"/>
    </w:p>
    <w:p w:rsidR="00A903B6" w:rsidRDefault="00C808E2">
      <w:pPr>
        <w:pStyle w:val="normal"/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Книжный фонд библиотеки Института в 2017 году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eastAsia="Times New Roman" w:hAnsi="Times New Roman" w:cs="Times New Roman"/>
          <w:sz w:val="28"/>
          <w:szCs w:val="28"/>
        </w:rPr>
        <w:t>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экземпляра, в том числе около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45 153 экземпляра учебно-методической литературы. Ежегодно фонд увеличивается в среднем на 500-700 экземпляров. Показатель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книгообеспеченности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17,5.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Пополнение книжного фонда осуществлялось за счет приобретения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 в Коллекторе массовых библиотек (КМБ). Кроме того, издательства «Экзамен», «Просвещение» и другие безвозмездно по договору обеспечивают библиотеку учебно-методической литературой.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Книгообеспечение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процесса и информационная платформа нау</w:t>
      </w:r>
      <w:r>
        <w:rPr>
          <w:rFonts w:ascii="Times New Roman" w:eastAsia="Times New Roman" w:hAnsi="Times New Roman" w:cs="Times New Roman"/>
          <w:sz w:val="28"/>
          <w:szCs w:val="28"/>
        </w:rPr>
        <w:t>чно-методической деятельности Института сочетают в себе ресурсы на бумажных и электронных носителях, предполагают проведение работ по оцифровке отдельных источников учебно-методической и научно-методической информации. Стоит задача создания на базе существ</w:t>
      </w:r>
      <w:r>
        <w:rPr>
          <w:rFonts w:ascii="Times New Roman" w:eastAsia="Times New Roman" w:hAnsi="Times New Roman" w:cs="Times New Roman"/>
          <w:sz w:val="28"/>
          <w:szCs w:val="28"/>
        </w:rPr>
        <w:t>ующей библиотеки Института современного информационно-библиотечного центра.</w:t>
      </w:r>
    </w:p>
    <w:p w:rsidR="00A903B6" w:rsidRDefault="00C808E2">
      <w:pPr>
        <w:pStyle w:val="normal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Финансово-экономические показатели деятельности Института.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Института по всем видам финансового обеспечения в 2017 году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194185,2 тыс. руб., в том числе: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объем субси</w:t>
      </w:r>
      <w:r>
        <w:rPr>
          <w:rFonts w:ascii="Times New Roman" w:eastAsia="Times New Roman" w:hAnsi="Times New Roman" w:cs="Times New Roman"/>
          <w:sz w:val="28"/>
          <w:szCs w:val="28"/>
        </w:rPr>
        <w:t>дии на возмещение нормативных затрат на оказание государственных услуг (работ) в 2017 году – 128451,9 тыс. руб.;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финансовые средства на выполнение мероприятий государственных программ в рамках финансирования на иные цели – 34927,0 тыс. руб.,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1024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прин</w:t>
      </w:r>
      <w:r>
        <w:rPr>
          <w:rFonts w:ascii="Times New Roman" w:eastAsia="Times New Roman" w:hAnsi="Times New Roman" w:cs="Times New Roman"/>
          <w:sz w:val="28"/>
          <w:szCs w:val="28"/>
        </w:rPr>
        <w:t>осящей доход деятельности – 30806,3 тыс. руб.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Бюджетные средства в 2017 году освоены на 100%. Объем поступлений</w:t>
      </w:r>
    </w:p>
    <w:p w:rsidR="00A903B6" w:rsidRDefault="00C808E2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приносящей доход деятельности в 2017 году увеличился по сравнению с 2016 годом на 2052,9 тыс. руб.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Рациональное планирование и распределение финансовых средств от всех видов поступлений и эффективная финансово-хозяйственная деятельность структурных подразделений Института позволили совершенствовать учебно-материальную базу, направить средства на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 образовательной инфраструктуры.</w:t>
      </w:r>
    </w:p>
    <w:p w:rsidR="00A903B6" w:rsidRDefault="00A903B6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выводы</w:t>
      </w:r>
    </w:p>
    <w:p w:rsidR="00A903B6" w:rsidRDefault="00C808E2">
      <w:pPr>
        <w:pStyle w:val="normal"/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2017 года определяют основные направления деятельности Института на следующий год: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дальнейшая организация адресного повышения квалификации и профессиональной переподготов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представителей профессорско-преподавательского состава, прочих педагогических работников с целью обеспечения соответствия профессиональных компетенций требованиям,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предъявляемыми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стандартом «Педагог профессионального обучения, профессио</w:t>
      </w:r>
      <w:r>
        <w:rPr>
          <w:rFonts w:ascii="Times New Roman" w:eastAsia="Times New Roman" w:hAnsi="Times New Roman" w:cs="Times New Roman"/>
          <w:sz w:val="28"/>
          <w:szCs w:val="28"/>
        </w:rPr>
        <w:t>нального образования и дополнительного профессионального образования»; реализация плана профессиональной переподготовки, повышения квалификации профессорско-преподавательского состава Института, иных категорий педагогических работников на 2017-2019 гг.;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льнейшее совершенствование нормативного и информационно-методического обеспечения разработки и реализации дополнительных профессиональных программ, в том числе в части формирования соответствующих учебно-методических комплексов;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механизма и реал</w:t>
      </w:r>
      <w:r>
        <w:rPr>
          <w:rFonts w:ascii="Times New Roman" w:eastAsia="Times New Roman" w:hAnsi="Times New Roman" w:cs="Times New Roman"/>
          <w:sz w:val="28"/>
          <w:szCs w:val="28"/>
        </w:rPr>
        <w:t>изация модели персонифицированного повышения квалификации педагогических работников на основе принципа «деньги за учителем»;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более активное использование накопительной системы профессиональной переподготовки и повышения квалификации педагогических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дальнейшее распространение моделей встроенного повышения квалификации, обучения школьных и муниципальных управленческих команд по заявкам органов управления образованием муниципальных районов и образовательных организаций; использование активных технол</w:t>
      </w:r>
      <w:r>
        <w:rPr>
          <w:rFonts w:ascii="Times New Roman" w:eastAsia="Times New Roman" w:hAnsi="Times New Roman" w:cs="Times New Roman"/>
          <w:sz w:val="28"/>
          <w:szCs w:val="28"/>
        </w:rPr>
        <w:t>огий обучения;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мониторинга и экспертизы качества разработки дополнительных профессиональных программ на соответствие требованиям законодательства и запросам потребителей, в том числе прохождение процедуры их профессионально-общественной аккредит</w:t>
      </w:r>
      <w:r>
        <w:rPr>
          <w:rFonts w:ascii="Times New Roman" w:eastAsia="Times New Roman" w:hAnsi="Times New Roman" w:cs="Times New Roman"/>
          <w:sz w:val="28"/>
          <w:szCs w:val="28"/>
        </w:rPr>
        <w:t>ации;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спектра образовательных услуг, предоставляемых Институтом на бюджетной и внебюджетной основе, в том числе по заявкам служб занятости населения муниципальных районов;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дальнейшее повышение качества образовательного процесса, доступности для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образовательных услуг путем увеличения доли активных форм обучения и применения дистанционных образовательных технологий;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1004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плана мероприятий по улучшению качества условий реализации дополнительных профессиональных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 в соответствии с выводами и рекомендациями комиссии по проверке выполнения лицензионных требований;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перечня дополнительных профессиональных программ на основании анализа профессиональных затруднений педагогических работников региона и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 трудовыми функциями педагога, определенными профессиональным стандартом педагога;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0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механизмов прогнозирования потребности педагогических и иных категорий работников в профессиональной переподготовке и повышении квалификации, по</w:t>
      </w:r>
      <w:r>
        <w:rPr>
          <w:rFonts w:ascii="Times New Roman" w:eastAsia="Times New Roman" w:hAnsi="Times New Roman" w:cs="Times New Roman"/>
          <w:sz w:val="28"/>
          <w:szCs w:val="28"/>
        </w:rPr>
        <w:t>ддержание на его основе в актуальном состоянии электронного банка данных;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ведущих специалистов, молодых научно-педагогических работников, успешных педагогов-практиков к реализации дополнительных профессиональных программ;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программы научно-методической (исследовательской) работы (далее — НИР) института, обеспечение в рамках программы взаимосвязей между темой НИР института и содержанием методологического семинара, тематикой исследовательских и инновационных работ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ПС, работой с базовыми ОО,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стажировочными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инновационными площадками.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научно-методическое обеспечение приоритетных направлений модернизации региональной системы образования, развитие  системы обобщения и распространения эффективного педагогического опыта,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достижений субъектов системы образования области. 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научно - прикладных исследований, консультационной деятельности, проведение научной экспертизы программ, проектов, рекомендаций, других документов и материалов по пе</w:t>
      </w:r>
      <w:r>
        <w:rPr>
          <w:rFonts w:ascii="Times New Roman" w:eastAsia="Times New Roman" w:hAnsi="Times New Roman" w:cs="Times New Roman"/>
          <w:sz w:val="28"/>
          <w:szCs w:val="28"/>
        </w:rPr>
        <w:t>рспективным направлениям развития образования;</w:t>
      </w:r>
    </w:p>
    <w:p w:rsidR="00A903B6" w:rsidRDefault="00C808E2">
      <w:pPr>
        <w:pStyle w:val="normal"/>
        <w:widowControl w:val="0"/>
        <w:numPr>
          <w:ilvl w:val="0"/>
          <w:numId w:val="1"/>
        </w:numPr>
        <w:tabs>
          <w:tab w:val="left" w:pos="985"/>
        </w:tabs>
        <w:spacing w:line="36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организационно-штатной структуры Института.</w:t>
      </w: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C808E2">
      <w:pPr>
        <w:pStyle w:val="normal"/>
        <w:widowControl w:val="0"/>
        <w:spacing w:line="276" w:lineRule="auto"/>
        <w:rPr>
          <w:sz w:val="2"/>
          <w:szCs w:val="2"/>
        </w:rPr>
        <w:sectPr w:rsidR="00A903B6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A903B6" w:rsidRDefault="00C808E2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Показатели</w:t>
      </w:r>
    </w:p>
    <w:p w:rsidR="00A903B6" w:rsidRDefault="00C808E2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деятельности ГАОУ ДПО «Ленинградский областной институт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развития образования» за 2017 год</w:t>
      </w:r>
    </w:p>
    <w:tbl>
      <w:tblPr>
        <w:tblStyle w:val="a5"/>
        <w:tblW w:w="9585" w:type="dxa"/>
        <w:tblInd w:w="818" w:type="dxa"/>
        <w:tblLayout w:type="fixed"/>
        <w:tblLook w:val="0000"/>
      </w:tblPr>
      <w:tblGrid>
        <w:gridCol w:w="821"/>
        <w:gridCol w:w="6277"/>
        <w:gridCol w:w="1100"/>
        <w:gridCol w:w="1387"/>
      </w:tblGrid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spacing w:after="120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A903B6" w:rsidRDefault="00C808E2">
            <w:pPr>
              <w:pStyle w:val="normal"/>
              <w:widowControl w:val="0"/>
              <w:spacing w:before="120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  <w:p w:rsidR="00A903B6" w:rsidRDefault="00C808E2">
            <w:pPr>
              <w:pStyle w:val="normal"/>
              <w:widowControl w:val="0"/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spacing w:after="18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Значение</w:t>
            </w:r>
          </w:p>
          <w:p w:rsidR="00A903B6" w:rsidRDefault="00C808E2">
            <w:pPr>
              <w:pStyle w:val="normal"/>
              <w:widowControl w:val="0"/>
              <w:spacing w:before="18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6277" w:type="dxa"/>
            <w:tcBorders>
              <w:top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 Образовательная деятельность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</w:tr>
      <w:tr w:rsidR="00A903B6" w:rsidTr="00C808E2">
        <w:trPr>
          <w:trHeight w:val="18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A903B6" w:rsidRDefault="00C808E2">
            <w:pPr>
              <w:pStyle w:val="normal"/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03B6" w:rsidTr="00C808E2">
        <w:trPr>
          <w:trHeight w:val="18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1100/</w:t>
            </w:r>
          </w:p>
          <w:p w:rsidR="00A903B6" w:rsidRDefault="00C808E2">
            <w:pPr>
              <w:pStyle w:val="normal"/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03B6" w:rsidTr="00C808E2">
        <w:trPr>
          <w:trHeight w:val="1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разработанных дополнительных профессиональных программ за отчетный период: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03B6" w:rsidTr="00C808E2">
        <w:trPr>
          <w:trHeight w:val="1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A903B6" w:rsidTr="00C808E2">
        <w:trPr>
          <w:trHeight w:val="1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ов, имеющих ученые степени и (или) ученые звания, в общей численности научно-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903B6" w:rsidRDefault="00A903B6">
      <w:pPr>
        <w:pStyle w:val="normal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C808E2">
      <w:pPr>
        <w:pStyle w:val="normal"/>
        <w:widowControl w:val="0"/>
        <w:spacing w:line="276" w:lineRule="auto"/>
        <w:rPr>
          <w:sz w:val="2"/>
          <w:szCs w:val="2"/>
        </w:rPr>
        <w:sectPr w:rsidR="00A903B6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A903B6" w:rsidRDefault="00A903B6">
      <w:pPr>
        <w:pStyle w:val="normal"/>
        <w:widowControl w:val="0"/>
        <w:spacing w:line="276" w:lineRule="auto"/>
        <w:rPr>
          <w:sz w:val="2"/>
          <w:szCs w:val="2"/>
        </w:rPr>
      </w:pPr>
    </w:p>
    <w:tbl>
      <w:tblPr>
        <w:tblStyle w:val="a6"/>
        <w:tblW w:w="9586" w:type="dxa"/>
        <w:tblInd w:w="811" w:type="dxa"/>
        <w:tblLayout w:type="fixed"/>
        <w:tblLook w:val="0000"/>
      </w:tblPr>
      <w:tblGrid>
        <w:gridCol w:w="821"/>
        <w:gridCol w:w="6315"/>
        <w:gridCol w:w="105"/>
        <w:gridCol w:w="958"/>
        <w:gridCol w:w="1387"/>
      </w:tblGrid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педагогических работников образовательной организации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</w:tr>
      <w:tr w:rsidR="00A903B6" w:rsidTr="00C808E2">
        <w:trPr>
          <w:trHeight w:val="18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03B6" w:rsidTr="00C808E2">
        <w:trPr>
          <w:trHeight w:val="1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54,4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903B6" w:rsidTr="00C808E2">
        <w:trPr>
          <w:trHeight w:val="360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Научно-исследовательская деятельность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903B6" w:rsidTr="00C808E2">
        <w:trPr>
          <w:trHeight w:val="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Общий объем НИОКР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4902,00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55,704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2,54%</w:t>
            </w:r>
          </w:p>
        </w:tc>
      </w:tr>
    </w:tbl>
    <w:p w:rsidR="00A903B6" w:rsidRDefault="00C808E2">
      <w:pPr>
        <w:pStyle w:val="normal"/>
        <w:widowControl w:val="0"/>
        <w:rPr>
          <w:sz w:val="2"/>
          <w:szCs w:val="2"/>
        </w:rPr>
        <w:sectPr w:rsidR="00A903B6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A903B6" w:rsidRDefault="00A903B6">
      <w:pPr>
        <w:pStyle w:val="normal"/>
        <w:widowControl w:val="0"/>
        <w:spacing w:line="276" w:lineRule="auto"/>
        <w:rPr>
          <w:sz w:val="2"/>
          <w:szCs w:val="2"/>
        </w:rPr>
      </w:pPr>
    </w:p>
    <w:tbl>
      <w:tblPr>
        <w:tblStyle w:val="a7"/>
        <w:tblW w:w="9588" w:type="dxa"/>
        <w:tblInd w:w="811" w:type="dxa"/>
        <w:tblLayout w:type="fixed"/>
        <w:tblLook w:val="0000"/>
      </w:tblPr>
      <w:tblGrid>
        <w:gridCol w:w="821"/>
        <w:gridCol w:w="6450"/>
        <w:gridCol w:w="930"/>
        <w:gridCol w:w="1387"/>
      </w:tblGrid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A903B6" w:rsidTr="00C808E2">
        <w:trPr>
          <w:trHeight w:val="1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 в общей численности научно-педагогических работников: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</w:tr>
      <w:tr w:rsidR="00A903B6" w:rsidTr="00C808E2">
        <w:trPr>
          <w:trHeight w:val="4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без ученой степени — до 30 лет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 0,5%</w:t>
            </w:r>
          </w:p>
        </w:tc>
      </w:tr>
      <w:tr w:rsidR="00A903B6" w:rsidTr="00C808E2">
        <w:trPr>
          <w:trHeight w:val="4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кандидатов наук — до 35 лет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/ 1%</w:t>
            </w:r>
          </w:p>
        </w:tc>
      </w:tr>
      <w:tr w:rsidR="00A903B6" w:rsidTr="00C808E2">
        <w:trPr>
          <w:trHeight w:val="4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докторов наук — до 40 лет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3B6" w:rsidTr="00C808E2">
        <w:trPr>
          <w:trHeight w:val="360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 Финансово-экономическая деятельность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194185,2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3B6" w:rsidTr="00C808E2">
        <w:trPr>
          <w:trHeight w:val="360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Инфраструктура</w:t>
            </w:r>
          </w:p>
        </w:tc>
      </w:tr>
      <w:tr w:rsidR="00A903B6" w:rsidTr="00C808E2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B6" w:rsidTr="00C808E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закрепленных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1585,4</w:t>
            </w:r>
          </w:p>
        </w:tc>
      </w:tr>
      <w:tr w:rsidR="00A903B6" w:rsidTr="00C808E2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образовательной организации в аренду,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</w:tr>
    </w:tbl>
    <w:p w:rsidR="00A903B6" w:rsidRDefault="00C808E2">
      <w:pPr>
        <w:pStyle w:val="normal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19</w:t>
      </w: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C808E2">
      <w:pPr>
        <w:pStyle w:val="normal"/>
        <w:widowControl w:val="0"/>
        <w:spacing w:line="276" w:lineRule="auto"/>
        <w:rPr>
          <w:sz w:val="2"/>
          <w:szCs w:val="2"/>
        </w:rPr>
        <w:sectPr w:rsidR="00A903B6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A903B6" w:rsidRDefault="00A903B6">
      <w:pPr>
        <w:pStyle w:val="normal"/>
        <w:widowControl w:val="0"/>
        <w:spacing w:line="276" w:lineRule="auto"/>
        <w:rPr>
          <w:sz w:val="2"/>
          <w:szCs w:val="2"/>
        </w:rPr>
      </w:pPr>
    </w:p>
    <w:tbl>
      <w:tblPr>
        <w:tblStyle w:val="a8"/>
        <w:tblW w:w="9585" w:type="dxa"/>
        <w:tblInd w:w="5" w:type="dxa"/>
        <w:tblLayout w:type="fixed"/>
        <w:tblLook w:val="0000"/>
      </w:tblPr>
      <w:tblGrid>
        <w:gridCol w:w="821"/>
        <w:gridCol w:w="6091"/>
        <w:gridCol w:w="1286"/>
        <w:gridCol w:w="1387"/>
      </w:tblGrid>
      <w:tr w:rsidR="00A903B6">
        <w:trPr>
          <w:trHeight w:val="3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A903B6">
            <w:pPr>
              <w:pStyle w:val="normal"/>
              <w:widowControl w:val="0"/>
              <w:rPr>
                <w:sz w:val="10"/>
                <w:szCs w:val="10"/>
              </w:rPr>
            </w:pPr>
          </w:p>
        </w:tc>
      </w:tr>
      <w:tr w:rsidR="00A903B6">
        <w:trPr>
          <w:trHeight w:val="1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A903B6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903B6">
        <w:trPr>
          <w:trHeight w:val="10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3B6" w:rsidRDefault="00C808E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"/>
          <w:szCs w:val="2"/>
        </w:rPr>
      </w:pPr>
    </w:p>
    <w:p w:rsidR="00A903B6" w:rsidRDefault="00A903B6">
      <w:pPr>
        <w:pStyle w:val="normal"/>
        <w:widowControl w:val="0"/>
        <w:rPr>
          <w:sz w:val="28"/>
          <w:szCs w:val="28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A903B6">
      <w:pPr>
        <w:pStyle w:val="normal"/>
        <w:widowControl w:val="0"/>
        <w:rPr>
          <w:sz w:val="22"/>
          <w:szCs w:val="22"/>
        </w:rPr>
      </w:pPr>
    </w:p>
    <w:p w:rsidR="00A903B6" w:rsidRDefault="00C808E2"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A903B6" w:rsidRDefault="00C808E2">
      <w:pPr>
        <w:pStyle w:val="normal"/>
        <w:widowControl w:val="0"/>
        <w:rPr>
          <w:sz w:val="2"/>
          <w:szCs w:val="2"/>
        </w:rPr>
      </w:pPr>
      <w:r>
        <w:rPr>
          <w:sz w:val="2"/>
          <w:szCs w:val="2"/>
        </w:rPr>
        <w:t>20</w:t>
      </w:r>
    </w:p>
    <w:sectPr w:rsidR="00A903B6" w:rsidSect="00A903B6">
      <w:type w:val="continuous"/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B31"/>
    <w:multiLevelType w:val="multilevel"/>
    <w:tmpl w:val="12A6EC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4CAB13F6"/>
    <w:multiLevelType w:val="multilevel"/>
    <w:tmpl w:val="F3BC1B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savePreviewPicture/>
  <w:compat/>
  <w:rsids>
    <w:rsidRoot w:val="00A903B6"/>
    <w:rsid w:val="00A903B6"/>
    <w:rsid w:val="00C808E2"/>
    <w:rsid w:val="00F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903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903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903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903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903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903B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03B6"/>
  </w:style>
  <w:style w:type="table" w:customStyle="1" w:styleId="TableNormal">
    <w:name w:val="Table Normal"/>
    <w:rsid w:val="00A90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03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903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90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90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90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A90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0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loi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t.loiro.ru/" TargetMode="External"/><Relationship Id="rId5" Type="http://schemas.openxmlformats.org/officeDocument/2006/relationships/hyperlink" Target="http://www.loi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5602</Words>
  <Characters>31936</Characters>
  <Application>Microsoft Office Word</Application>
  <DocSecurity>0</DocSecurity>
  <Lines>266</Lines>
  <Paragraphs>74</Paragraphs>
  <ScaleCrop>false</ScaleCrop>
  <Company>ГАОУ ДПО "ЛОИРО"</Company>
  <LinksUpToDate>false</LinksUpToDate>
  <CharactersWithSpaces>37464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2018-04-10T07:50:00Z</dcterms:created>
  <dcterms:modified xsi:type="dcterms:W3CDTF">2018-04-10T07:52:00Z</dcterms:modified>
</cp:coreProperties>
</file>