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92" w:rsidRDefault="00401792"/>
    <w:p w:rsidR="00401792" w:rsidRDefault="0051377C">
      <w:r>
        <w:t>ДОГОВОР</w:t>
      </w:r>
      <w:r w:rsidR="000800E5">
        <w:t xml:space="preserve"> №</w:t>
      </w:r>
      <w:r>
        <w:t xml:space="preserve"> </w:t>
      </w:r>
      <w:r w:rsidR="000800E5">
        <w:t>17-ЗК/ЭФ-23</w:t>
      </w:r>
    </w:p>
    <w:p w:rsidR="00401792" w:rsidRDefault="0051377C">
      <w:r>
        <w:t>на оказание услуг</w:t>
      </w:r>
    </w:p>
    <w:p w:rsidR="00401792" w:rsidRDefault="00401792"/>
    <w:p w:rsidR="00401792" w:rsidRDefault="0051377C">
      <w:pPr>
        <w:jc w:val="both"/>
      </w:pPr>
      <w:r>
        <w:t xml:space="preserve">г. Санкт-Петербург                                                    </w:t>
      </w:r>
      <w:r w:rsidR="000800E5">
        <w:t xml:space="preserve">                             02.05.</w:t>
      </w:r>
      <w:r>
        <w:t xml:space="preserve"> 2023 г.</w:t>
      </w:r>
    </w:p>
    <w:p w:rsidR="00401792" w:rsidRDefault="00401792"/>
    <w:p w:rsidR="00401792" w:rsidRDefault="0051377C">
      <w:pPr>
        <w:numPr>
          <w:ilvl w:val="1"/>
          <w:numId w:val="3"/>
        </w:numPr>
        <w:suppressAutoHyphens/>
        <w:spacing w:after="0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 (далее – ГАОУ ДПО «ЛОИРО»), именуемое в дальнейшим «Заказчик», в лице ректора Ковальчук Ольги Владими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ровны, действующей  на основании Устава с одной стороны, и Общество с ограниченной ответственностью «Мультимедиа-студия «Март» (далее – ООО «Студия «Март»), именуемое в дальнейшим «Исполнитель» в лице директора Кондратьевой Ирины Николаевны, действующего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  основании Устава, с другой стороны, а вместе именуемые далее Стороны, заключили настоящий Договор на возмездное оказание услуг (далее – Договор) на основании протокола рассмотрения и оценки заявок запроса котировок от 21 апреля 2023 г. № 32312287786 о </w:t>
      </w:r>
      <w:r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401792" w:rsidRDefault="00401792"/>
    <w:p w:rsidR="00401792" w:rsidRDefault="0051377C">
      <w:pPr>
        <w:numPr>
          <w:ilvl w:val="0"/>
          <w:numId w:val="2"/>
        </w:numPr>
        <w:jc w:val="center"/>
      </w:pPr>
      <w:r>
        <w:rPr>
          <w:b/>
          <w:bCs/>
        </w:rPr>
        <w:t>ПРЕДМЕТ ДОГОВОРА</w:t>
      </w:r>
    </w:p>
    <w:p w:rsidR="00401792" w:rsidRDefault="0051377C">
      <w:pPr>
        <w:numPr>
          <w:ilvl w:val="1"/>
          <w:numId w:val="3"/>
        </w:numPr>
        <w:spacing w:after="0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срока действия настоящего Договора Исполнитель обязуется по заданию Заказчика оказать комплекс услуг по организации и проведению диагностических процедур для выявления индивидуальных и групповых дефицитов общеучеб</w:t>
      </w:r>
      <w:r>
        <w:rPr>
          <w:rFonts w:ascii="Times New Roman" w:eastAsia="Times New Roman" w:hAnsi="Times New Roman" w:cs="Times New Roman"/>
          <w:sz w:val="24"/>
          <w:szCs w:val="24"/>
        </w:rPr>
        <w:t>ных умений обучающихся начальной школы Ленинградской области в соответствии с техническим заданием (Приложение 1), а Заказчик обязуется принять Отчет и произвести оплату.</w:t>
      </w:r>
    </w:p>
    <w:p w:rsidR="00401792" w:rsidRDefault="0051377C">
      <w:pPr>
        <w:numPr>
          <w:ilvl w:val="1"/>
          <w:numId w:val="3"/>
        </w:numPr>
        <w:spacing w:after="0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Сроки оказания услуг: начало со дня подписания договора; окончание – по 20 декабря 20</w:t>
      </w:r>
      <w:r>
        <w:rPr>
          <w:rFonts w:ascii="Times New Roman" w:eastAsia="Times New Roman" w:hAnsi="Times New Roman" w:cs="Times New Roman"/>
          <w:sz w:val="24"/>
          <w:szCs w:val="24"/>
        </w:rPr>
        <w:t>23 г., с учетом сроков поэтапного исполнения договора.</w:t>
      </w:r>
    </w:p>
    <w:p w:rsidR="00401792" w:rsidRDefault="0051377C">
      <w:pPr>
        <w:numPr>
          <w:ilvl w:val="1"/>
          <w:numId w:val="3"/>
        </w:numPr>
        <w:ind w:left="0"/>
        <w:jc w:val="both"/>
      </w:pPr>
      <w:r>
        <w:t>Место оказания услуг: Санкт-Петербург.</w:t>
      </w:r>
    </w:p>
    <w:p w:rsidR="00401792" w:rsidRDefault="0051377C">
      <w:pPr>
        <w:numPr>
          <w:ilvl w:val="1"/>
          <w:numId w:val="3"/>
        </w:numPr>
        <w:spacing w:after="0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Услуги оказываются Исполнителем его силами и средствами.</w:t>
      </w:r>
    </w:p>
    <w:p w:rsidR="00401792" w:rsidRDefault="0051377C">
      <w:pPr>
        <w:jc w:val="both"/>
      </w:pPr>
      <w:r>
        <w:t>1.6. Настоящий договор заключается в соответствии с Федеральным законом № 223-ФЗ «О закупках товаров, раб</w:t>
      </w:r>
      <w:r>
        <w:t xml:space="preserve">от, услуг отдельным видам юридических лиц» от 18 июля 2011 года и на основании «Положения о закупке товаров, работ, услуг для нужд ГАОУ ДПО «ЛОИРО».  </w:t>
      </w:r>
    </w:p>
    <w:p w:rsidR="00401792" w:rsidRDefault="00401792">
      <w:pPr>
        <w:numPr>
          <w:ilvl w:val="0"/>
          <w:numId w:val="1"/>
        </w:numPr>
        <w:jc w:val="center"/>
      </w:pPr>
    </w:p>
    <w:p w:rsidR="00401792" w:rsidRDefault="0051377C">
      <w:pPr>
        <w:numPr>
          <w:ilvl w:val="0"/>
          <w:numId w:val="1"/>
        </w:numPr>
        <w:jc w:val="center"/>
      </w:pPr>
      <w:r>
        <w:rPr>
          <w:b/>
          <w:bCs/>
        </w:rPr>
        <w:t>ПРАВА И ОБЯЗАННОСТИ СТОРОН</w:t>
      </w:r>
    </w:p>
    <w:p w:rsidR="00401792" w:rsidRDefault="0051377C">
      <w:pPr>
        <w:spacing w:after="0"/>
      </w:pPr>
      <w:r>
        <w:rPr>
          <w:sz w:val="24"/>
          <w:szCs w:val="24"/>
        </w:rPr>
        <w:t>2.1. Обязанности Исполнителя:</w:t>
      </w:r>
    </w:p>
    <w:p w:rsidR="00401792" w:rsidRDefault="0051377C">
      <w:r>
        <w:t xml:space="preserve">2.1.1. Оказать комплекс услуг по организации и </w:t>
      </w:r>
      <w:r>
        <w:t>проведению диагностических процедур для выявления индивидуальных и групповых дефицитов общеучебных умений обучающихся начальной школы Ленинградской области согласно технического задания (приложение 1 к договору).</w:t>
      </w:r>
    </w:p>
    <w:p w:rsidR="00401792" w:rsidRDefault="0051377C">
      <w:pPr>
        <w:spacing w:after="0"/>
      </w:pPr>
      <w:r>
        <w:rPr>
          <w:sz w:val="24"/>
          <w:szCs w:val="24"/>
        </w:rPr>
        <w:t xml:space="preserve">2.1.2. Обеспечить постоянную координацию с </w:t>
      </w:r>
      <w:r>
        <w:rPr>
          <w:sz w:val="24"/>
          <w:szCs w:val="24"/>
        </w:rPr>
        <w:t>Заказчиком, качественное информационное и консультационное сопровождение участников мероприятия на всех этапах оказания услуг в соответствии с техническим заданием.</w:t>
      </w:r>
    </w:p>
    <w:p w:rsidR="00401792" w:rsidRDefault="0051377C">
      <w:pPr>
        <w:suppressAutoHyphens/>
      </w:pPr>
      <w:r>
        <w:t xml:space="preserve">2.1.3. Подготовить отчеты по этапам и итоговый отчет по исполнению договора.  </w:t>
      </w:r>
    </w:p>
    <w:p w:rsidR="00401792" w:rsidRDefault="0051377C">
      <w:pPr>
        <w:spacing w:after="0"/>
      </w:pPr>
      <w:r>
        <w:rPr>
          <w:sz w:val="24"/>
          <w:szCs w:val="24"/>
        </w:rPr>
        <w:lastRenderedPageBreak/>
        <w:t>2.1.4. Обесп</w:t>
      </w:r>
      <w:r>
        <w:rPr>
          <w:sz w:val="24"/>
          <w:szCs w:val="24"/>
        </w:rPr>
        <w:t>ечить конфиденциальность полученных от Заказчика сведений, не использовать предоставленную Заказчиком информацию без письменного согласия Заказчика.</w:t>
      </w:r>
    </w:p>
    <w:p w:rsidR="00401792" w:rsidRDefault="0051377C">
      <w:pPr>
        <w:spacing w:after="0"/>
      </w:pPr>
      <w:r>
        <w:rPr>
          <w:sz w:val="24"/>
          <w:szCs w:val="24"/>
        </w:rPr>
        <w:t>2.2.  Права и обязанности Заказчика:</w:t>
      </w:r>
    </w:p>
    <w:p w:rsidR="00401792" w:rsidRDefault="0051377C">
      <w:pPr>
        <w:spacing w:after="0"/>
      </w:pPr>
      <w:r>
        <w:rPr>
          <w:sz w:val="24"/>
          <w:szCs w:val="24"/>
        </w:rPr>
        <w:t>2.2.1. Своевременно передать Исполнителю необходимые документы для выполнения им своих обязательств, предусмотренных настоящим договором.</w:t>
      </w:r>
    </w:p>
    <w:p w:rsidR="00401792" w:rsidRDefault="0051377C">
      <w:pPr>
        <w:suppressAutoHyphens/>
      </w:pPr>
      <w:r>
        <w:t>2.2.2. имеет право требовать от Исполнителя предоставления информации по вопросам организации и обеспечения надлежащег</w:t>
      </w:r>
      <w:r>
        <w:t>о исполнения услуг, предусмотренных разделом 1 настоящего Договора;</w:t>
      </w:r>
    </w:p>
    <w:p w:rsidR="00401792" w:rsidRDefault="0051377C">
      <w:pPr>
        <w:suppressAutoHyphens/>
      </w:pPr>
      <w:r>
        <w:t>2.2.3. получает полную информацию по вопросам, касающимся процесса обучения, оценки знаний, умений и навыков, а также о критериях этих оценок</w:t>
      </w:r>
    </w:p>
    <w:p w:rsidR="00401792" w:rsidRDefault="0051377C">
      <w:pPr>
        <w:suppressAutoHyphens/>
      </w:pPr>
      <w:r>
        <w:t>2.2.4. проверяет ход и качество услуг, оказыва</w:t>
      </w:r>
      <w:r>
        <w:t>емых Исполнителем, не вмешиваясь в его деятельность.</w:t>
      </w:r>
    </w:p>
    <w:p w:rsidR="00401792" w:rsidRDefault="0051377C">
      <w:pPr>
        <w:spacing w:after="0"/>
      </w:pPr>
      <w:r>
        <w:rPr>
          <w:sz w:val="24"/>
          <w:szCs w:val="24"/>
        </w:rPr>
        <w:t>2.2.5. Своевременно принять от Исполнителя Отчет по оказанию услуг.</w:t>
      </w:r>
    </w:p>
    <w:p w:rsidR="00401792" w:rsidRDefault="0051377C">
      <w:pPr>
        <w:spacing w:after="0"/>
      </w:pPr>
      <w:r>
        <w:rPr>
          <w:sz w:val="24"/>
          <w:szCs w:val="24"/>
        </w:rPr>
        <w:t>2.2.6. Оплатить в соответствии с положениями статьи 3 настоящего Договора оказанные услуги на основании подписанного Сторонами акта сда</w:t>
      </w:r>
      <w:r>
        <w:rPr>
          <w:sz w:val="24"/>
          <w:szCs w:val="24"/>
        </w:rPr>
        <w:t>чи-приемки работ и предоставленного счета и счет-фактуры (при наличии).</w:t>
      </w:r>
    </w:p>
    <w:p w:rsidR="00401792" w:rsidRDefault="0051377C">
      <w:pPr>
        <w:spacing w:after="0"/>
      </w:pPr>
      <w:r>
        <w:rPr>
          <w:sz w:val="24"/>
          <w:szCs w:val="24"/>
        </w:rPr>
        <w:t>2.3. Стороны обязуются незамедлительно информировать друг друга о затруднениях, препятствующих надлежащему исполнению обязательств по настоящему Договору, и принимать все возможные мер</w:t>
      </w:r>
      <w:r>
        <w:rPr>
          <w:sz w:val="24"/>
          <w:szCs w:val="24"/>
        </w:rPr>
        <w:t>ы по их устранению.</w:t>
      </w:r>
    </w:p>
    <w:p w:rsidR="00401792" w:rsidRDefault="00401792"/>
    <w:p w:rsidR="00401792" w:rsidRDefault="0051377C">
      <w:pPr>
        <w:numPr>
          <w:ilvl w:val="0"/>
          <w:numId w:val="1"/>
        </w:num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РАБОТ И ПОРЯДОК РАСЧЕТОВ</w:t>
      </w:r>
    </w:p>
    <w:p w:rsidR="00401792" w:rsidRDefault="0051377C">
      <w:r>
        <w:t xml:space="preserve">3.1 Стоимость услуг по настоящему Договору составляет </w:t>
      </w:r>
      <w:r>
        <w:rPr>
          <w:b/>
          <w:bCs/>
        </w:rPr>
        <w:t>970 000 (Девятьсот семьдесят тысяч)</w:t>
      </w:r>
      <w:r>
        <w:t xml:space="preserve"> рублей. 00 копеек. НДС не уплачивается в связи с применением упрощенной системы налогообложения.</w:t>
      </w:r>
    </w:p>
    <w:p w:rsidR="00401792" w:rsidRDefault="0051377C">
      <w:r>
        <w:t>3.2. Начальна</w:t>
      </w:r>
      <w:r>
        <w:t>я цена договора указана с учетом всех расходов на оказание услуг, в том числе расходов на материалы их доставку, уплату налогов, таможенных пошлин, сборов и иных обязательных платежей, расходов на оформление любых сертификатов и другой технической и/или ин</w:t>
      </w:r>
      <w:r>
        <w:t>ой требуемой документации, а также на экспертизы и всех иных расходов, необходимых для исполнения Договора и/или которые могут возникнуть при его исполнении.</w:t>
      </w:r>
    </w:p>
    <w:p w:rsidR="00401792" w:rsidRDefault="0051377C">
      <w:r>
        <w:t>3.3. С целью оплаты оказанных услуг Стороны подписывают отчет об оказанных услугах и акт сдачи-при</w:t>
      </w:r>
      <w:r>
        <w:t>емки оказанных услуг, который является основанием к проведению расчетов между Сторонами.</w:t>
      </w:r>
    </w:p>
    <w:p w:rsidR="00401792" w:rsidRDefault="0051377C">
      <w:r>
        <w:t>Исполнитель не позднее 3-х рабочих дней с момента выполнения работ (этапа работ) подписывает Акт и направляет на подпись Заказчику. Направленный ему Исполнителем проек</w:t>
      </w:r>
      <w:r>
        <w:t>т Акта должен быть рассмотрен Заказчиком в течение 3-х рабочих дней и подписан или заявлен мотивированный отказ от подписания Акта.</w:t>
      </w:r>
    </w:p>
    <w:p w:rsidR="00401792" w:rsidRDefault="0051377C">
      <w:r>
        <w:t>3.4.  При получении от Исполнителя Акта сдачи-приемки оказанных услуг Заказчик организует приемку оказанных услуг и в случае</w:t>
      </w:r>
      <w:r>
        <w:t xml:space="preserve"> отсутствия претензий по качеству выполненных услуг и их объему, Заказчик подписывает акт сдачи-приемки оказанных услуг и направляет один экземпляр Исполнителю.</w:t>
      </w:r>
    </w:p>
    <w:p w:rsidR="00401792" w:rsidRDefault="0051377C">
      <w:r>
        <w:t xml:space="preserve">3.5. Подписанный Сторонами акт сдачи-приемки оказанных услуг и выставленный счет, счет-фактура </w:t>
      </w:r>
      <w:r>
        <w:t>(при необходимости) являются основанием для оплаты Заказчиком выполненных Исполнителем услуг.</w:t>
      </w:r>
    </w:p>
    <w:p w:rsidR="00401792" w:rsidRDefault="0051377C">
      <w:r>
        <w:lastRenderedPageBreak/>
        <w:t>3.6. Оплата производится по безналичному расчету за счет средств субсидии на иные цели в целях исполнения и реализации мероприятий государственной программы Ленин</w:t>
      </w:r>
      <w:r>
        <w:t>градской области «Современное образование Ленинградской области» в 2023 году (</w:t>
      </w:r>
      <w:r>
        <w:rPr>
          <w:rFonts w:ascii="Calibri" w:eastAsia="Calibri" w:hAnsi="Calibri" w:cs="Calibri"/>
        </w:rPr>
        <w:t>Доп.Кр 0224510005</w:t>
      </w:r>
      <w:r>
        <w:t>).</w:t>
      </w:r>
    </w:p>
    <w:p w:rsidR="00401792" w:rsidRDefault="0051377C">
      <w:r>
        <w:t>3.7. Заказчик обязан оплатить выполненные Исполнителем услуги после подписания Акта оказанных услуг Сторонами в срок, не превышающий 7-ми рабочих дней с момен</w:t>
      </w:r>
      <w:r>
        <w:t>та предоставления счета на оплату Исполнителем.</w:t>
      </w:r>
    </w:p>
    <w:p w:rsidR="00401792" w:rsidRDefault="0051377C">
      <w:r>
        <w:t>3.8. Все расчеты по настоящему Договору осуществляются в рублях.</w:t>
      </w:r>
    </w:p>
    <w:p w:rsidR="00401792" w:rsidRDefault="0051377C">
      <w:r>
        <w:t>3.9. По инициативе любой из Сторон может быть произведена сверка расчетов. Отказ от проведения сверки расчетов не допускается.</w:t>
      </w:r>
    </w:p>
    <w:p w:rsidR="00401792" w:rsidRDefault="00401792"/>
    <w:p w:rsidR="00401792" w:rsidRDefault="0051377C">
      <w:pPr>
        <w:ind w:left="22896"/>
        <w:jc w:val="center"/>
      </w:pPr>
      <w:r>
        <w:rPr>
          <w:b/>
          <w:bCs/>
        </w:rPr>
        <w:t>4.ОТВЕТСТВЕННОС</w:t>
      </w:r>
      <w:r>
        <w:rPr>
          <w:b/>
          <w:bCs/>
        </w:rPr>
        <w:t>ТЬ СТОРОН ДОГОВОРА</w:t>
      </w:r>
    </w:p>
    <w:p w:rsidR="00401792" w:rsidRDefault="0051377C">
      <w:r>
        <w:rPr>
          <w:color w:val="000000"/>
        </w:rPr>
        <w:t xml:space="preserve">4.1. В случае неисполнения или ненадлежащего исполнения обязательств, предусмотренных </w:t>
      </w:r>
      <w:r>
        <w:t>Договор</w:t>
      </w:r>
      <w:r>
        <w:rPr>
          <w:color w:val="000000"/>
        </w:rPr>
        <w:t xml:space="preserve">ом, Стороны несут ответственность в соответствии с условиями настоящего </w:t>
      </w:r>
      <w:r>
        <w:t>Договор</w:t>
      </w:r>
      <w:r>
        <w:rPr>
          <w:color w:val="000000"/>
        </w:rPr>
        <w:t>а и законодательством Российской Федерации.</w:t>
      </w:r>
    </w:p>
    <w:p w:rsidR="00401792" w:rsidRDefault="0051377C">
      <w:r>
        <w:rPr>
          <w:color w:val="000000"/>
        </w:rPr>
        <w:t xml:space="preserve">4.2. </w:t>
      </w:r>
      <w:r>
        <w:t xml:space="preserve">В случае просрочки исполнения Заказчиком обязательств, предусмотренных Договором, а также в иных случаях неисполнения или ненадлежащего исполнения </w:t>
      </w:r>
      <w:r>
        <w:lastRenderedPageBreak/>
        <w:t xml:space="preserve">Заказчиком обязательств, предусмотренных Договором, Исполнитель вправе потребовать уплаты неустоек (штрафов, </w:t>
      </w:r>
      <w:r>
        <w:t>пеней).</w:t>
      </w:r>
    </w:p>
    <w:p w:rsidR="00401792" w:rsidRDefault="0051377C">
      <w:r>
        <w:t>4.3.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</w:t>
      </w:r>
      <w:r>
        <w:t>ере 1/300 (одной трехсотой)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401792" w:rsidRDefault="0051377C">
      <w:r>
        <w:t xml:space="preserve">Штрафы в размере 2,5% цены Договора начисляются за ненадлежащее исполнение Заказчиком обязательств, </w:t>
      </w:r>
      <w:r>
        <w:t>предусмотренных Договором, за исключением просрочки исполнения обязательств, предусмотренных Договором.</w:t>
      </w:r>
    </w:p>
    <w:p w:rsidR="00401792" w:rsidRDefault="0051377C">
      <w:r>
        <w:t>Указанные неустойка (пени, штраф) взимаются за каждое нарушение в отдельности.</w:t>
      </w:r>
    </w:p>
    <w:p w:rsidR="00401792" w:rsidRDefault="0051377C">
      <w:r>
        <w:rPr>
          <w:color w:val="000000"/>
        </w:rPr>
        <w:t xml:space="preserve">4.4. </w:t>
      </w:r>
      <w:r>
        <w:t>В случае просрочки исполнения Исполнителем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</w:t>
      </w:r>
      <w:r>
        <w:t>овором, Заказчик направляет Исполнителю требование об уплате неустоек (штрафов, пеней).</w:t>
      </w:r>
    </w:p>
    <w:p w:rsidR="00401792" w:rsidRDefault="0051377C">
      <w:r>
        <w:t>В случае просрочки исполнения Исполнителем обязательств по настоящему Договору Исполнитель выплачивает Заказчику пени.</w:t>
      </w:r>
    </w:p>
    <w:p w:rsidR="00401792" w:rsidRDefault="0051377C">
      <w:r>
        <w:t>Пени начисляются за каждый день просрочки исполне</w:t>
      </w:r>
      <w:r>
        <w:t>ния Исполнителем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обязательства, и устанавливаются в размере одной трехсотой действующей на дату уплаты п</w:t>
      </w:r>
      <w:r>
        <w:t>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401792" w:rsidRDefault="0051377C">
      <w:r>
        <w:t>Штрафы в размере 10% цены Договора начисляютс</w:t>
      </w:r>
      <w:r>
        <w:t xml:space="preserve">я за неисполнение или ненадлежащее исполнение Исполнителем обязательств, предусмотренных Договором. </w:t>
      </w:r>
    </w:p>
    <w:p w:rsidR="00401792" w:rsidRDefault="0051377C">
      <w:r>
        <w:rPr>
          <w:color w:val="000000"/>
        </w:rPr>
        <w:t xml:space="preserve">4.5. В случае неисполнения или ненадлежащего исполнения </w:t>
      </w:r>
      <w:r>
        <w:t>Исполнителем</w:t>
      </w:r>
      <w:r>
        <w:rPr>
          <w:color w:val="000000"/>
        </w:rPr>
        <w:t xml:space="preserve"> обязательств, предусмотренных </w:t>
      </w:r>
      <w:r>
        <w:t>Договор</w:t>
      </w:r>
      <w:r>
        <w:rPr>
          <w:color w:val="000000"/>
        </w:rPr>
        <w:t xml:space="preserve">ом, Заказчик производит оплату по </w:t>
      </w:r>
      <w:r>
        <w:t>Договор</w:t>
      </w:r>
      <w:r>
        <w:rPr>
          <w:color w:val="000000"/>
        </w:rPr>
        <w:t>у за выч</w:t>
      </w:r>
      <w:r>
        <w:rPr>
          <w:color w:val="000000"/>
        </w:rPr>
        <w:t>етом соответствующего размера неустойки (штрафа, пеней).</w:t>
      </w:r>
    </w:p>
    <w:p w:rsidR="00401792" w:rsidRDefault="0051377C">
      <w:r>
        <w:rPr>
          <w:color w:val="000000"/>
        </w:rPr>
        <w:t xml:space="preserve">4.6. </w:t>
      </w:r>
      <w:r>
        <w:t>При предъявлении Заказчиком требования об уплате неустойки, уплата неустойки (пени, штрафа) за нарушение обязательств по Договору производится Исполнителем путем перечисления денежных средств на</w:t>
      </w:r>
      <w:r>
        <w:t xml:space="preserve"> расчетный счет Заказчика.</w:t>
      </w:r>
    </w:p>
    <w:p w:rsidR="00401792" w:rsidRDefault="0051377C">
      <w:r>
        <w:t>4.7. В случае неисполнения или ненадлежащего исполнения Исполнителем обязательств, предусмотренных настоящим Договором, а также при невыполнении требования Заказчика об оплате неустойки, Заказчик, в соответствии со ст. 308, 410 Г</w:t>
      </w:r>
      <w:r>
        <w:t>К РФ вправе произвести оплату по Договору за вычетом соответствующего размера неустойки, рассчитанного по завершению выполнения Услуги.</w:t>
      </w:r>
    </w:p>
    <w:p w:rsidR="00401792" w:rsidRDefault="0051377C">
      <w:r>
        <w:rPr>
          <w:color w:val="000000"/>
        </w:rPr>
        <w:t xml:space="preserve">4.8. </w:t>
      </w:r>
      <w:r>
        <w:t>Уплата неустойки (пени, штрафа) за просрочку или иное ненадлежащее исполнение обязательств по Договору, а также воз</w:t>
      </w:r>
      <w:r>
        <w:t>мещение убытков, причиненных ненадлежащим исполнением обязательств, не освобождает Исполнителя от исполнения обязательств в натуре.</w:t>
      </w:r>
    </w:p>
    <w:p w:rsidR="00401792" w:rsidRDefault="0051377C">
      <w:pPr>
        <w:ind w:left="22896"/>
        <w:jc w:val="center"/>
      </w:pPr>
      <w:r>
        <w:rPr>
          <w:b/>
          <w:bCs/>
        </w:rPr>
        <w:t>5.О</w:t>
      </w:r>
      <w:r>
        <w:rPr>
          <w:b/>
          <w:bCs/>
        </w:rPr>
        <w:lastRenderedPageBreak/>
        <w:t>БСТОЯТЕЛЬСТВА НЕПРЕОДОЛИМОЙ</w:t>
      </w:r>
      <w:r>
        <w:t xml:space="preserve"> </w:t>
      </w:r>
      <w:r>
        <w:rPr>
          <w:b/>
          <w:bCs/>
        </w:rPr>
        <w:t>СИЛЫ</w:t>
      </w:r>
    </w:p>
    <w:p w:rsidR="00401792" w:rsidRDefault="0051377C">
      <w:r>
        <w:t>5.1. Стороны освобождаются от ответственности за полное или частичное неисполнение своих</w:t>
      </w:r>
      <w:r>
        <w:t xml:space="preserve">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</w:t>
      </w:r>
      <w:r>
        <w:t>обязательств по настоящему Договору, а также других чрезвычайных обстоятельств, подтвержденных в установленном законодательством порядке, которые возникли после заключения настоящего Договора и непосредственно повлияли на исполнение Сторонами своих обязате</w:t>
      </w:r>
      <w:r>
        <w:t>льств, а также которые Стороны были не в состоянии предвидеть и предотвратить.</w:t>
      </w:r>
    </w:p>
    <w:p w:rsidR="00401792" w:rsidRDefault="0051377C">
      <w:r>
        <w:t>5.2.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постольку, поскольку э</w:t>
      </w:r>
      <w:r>
        <w:t>ти обстоятельства значительно влияют на исполнение настоящего Договора в срок.</w:t>
      </w:r>
    </w:p>
    <w:p w:rsidR="00401792" w:rsidRDefault="0051377C">
      <w:r>
        <w:t>5.3.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</w:t>
      </w:r>
      <w:r>
        <w:t>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401792" w:rsidRDefault="0051377C">
      <w:r>
        <w:lastRenderedPageBreak/>
        <w:t>5.4. Если обстоятельства, указанные в п. 5.1 настоящего Договора, будут длиться более 2 (двух) к</w:t>
      </w:r>
      <w:r>
        <w:t>алендарных месяцев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401792" w:rsidRDefault="00401792"/>
    <w:p w:rsidR="00401792" w:rsidRDefault="0051377C">
      <w:pPr>
        <w:ind w:left="22896"/>
        <w:jc w:val="center"/>
      </w:pPr>
      <w:r>
        <w:rPr>
          <w:b/>
          <w:bCs/>
        </w:rPr>
        <w:t>6.  АНТИКОРРУПЦИОННАЯ ОГОВОРКА</w:t>
      </w:r>
    </w:p>
    <w:p w:rsidR="00401792" w:rsidRDefault="0051377C">
      <w:r>
        <w:t>6.1. При исполнении свои</w:t>
      </w:r>
      <w:r>
        <w:t>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средств, иных ценностей, безвозмездное выполнение в их адрес (адрес их близких) работ (у</w:t>
      </w:r>
      <w:r>
        <w:t>слуг), прямо или косвенно, любым лицам, для оказания влияния на действия или решения Сторон, их аффилированных лиц, работников или посредников с целью получить какие-либо неправомерные преимущества или с иной неправомерной целью.</w:t>
      </w:r>
    </w:p>
    <w:p w:rsidR="00401792" w:rsidRDefault="0051377C">
      <w:r>
        <w:t xml:space="preserve">6.2. При исполнении своих </w:t>
      </w:r>
      <w:r>
        <w:t>обязательств по Договору Стороны, их аффилированные лица, работники или посредники не осуществляют действия, наказуемые в соответствии с главой 30 Уголовного кодекса Российской Федерации, а также действия, нарушающие требования международных актов о против</w:t>
      </w:r>
      <w:r>
        <w:t>одействии легализации (отмыванию) доходов, полученных преступным путем.</w:t>
      </w:r>
    </w:p>
    <w:p w:rsidR="00401792" w:rsidRDefault="0051377C">
      <w:r>
        <w:t>6.3. В случае появления у Стороны информации, что произошло или может произойти нарушение каких-либо положений настоящего Раздела, соответствующая Сторона обязуется незамедлительно уве</w:t>
      </w:r>
      <w:r>
        <w:t xml:space="preserve">домить другую Сторону в письменной форме, по возможности также иными способами связи для ускорения принятия соответствующих </w:t>
      </w:r>
      <w:r>
        <w:lastRenderedPageBreak/>
        <w:t>мер. В письменном уведомлении Сторона обязана сослаться на факты или предоставить материалы, подтверждающие или дающие основание пре</w:t>
      </w:r>
      <w:r>
        <w:t>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</w:t>
      </w:r>
    </w:p>
    <w:p w:rsidR="00401792" w:rsidRDefault="0051377C">
      <w:r>
        <w:t xml:space="preserve">6.4. О результатах рассмотрения уведомления Сторона должна сообщить Стороне, направившей </w:t>
      </w:r>
      <w:r>
        <w:t>уведомление, не позднее 10 рабочих дней в письменной форме.</w:t>
      </w:r>
    </w:p>
    <w:p w:rsidR="00401792" w:rsidRDefault="00401792"/>
    <w:p w:rsidR="00401792" w:rsidRDefault="00401792"/>
    <w:p w:rsidR="00401792" w:rsidRDefault="0051377C">
      <w:pPr>
        <w:ind w:left="-2944"/>
        <w:jc w:val="center"/>
      </w:pPr>
      <w:r>
        <w:rPr>
          <w:b/>
          <w:bCs/>
        </w:rPr>
        <w:t>7. ИЗМЕНЕНИЕ, ДОПОЛНЕНИЕ И РАСТОРЖЕНИЕ</w:t>
      </w:r>
    </w:p>
    <w:p w:rsidR="00401792" w:rsidRDefault="0051377C">
      <w:pPr>
        <w:ind w:left="-2944"/>
        <w:jc w:val="center"/>
      </w:pPr>
      <w:r>
        <w:rPr>
          <w:b/>
          <w:bCs/>
        </w:rPr>
        <w:t>НАСТОЯЩЕГО ДОГОВОРА</w:t>
      </w:r>
    </w:p>
    <w:p w:rsidR="00401792" w:rsidRDefault="0051377C">
      <w:r>
        <w:t>7.1. Настоящий Договор может быть изменен или дополнен по взаимному согласию Сторон, выраженному в письменной форме и подписанному упол</w:t>
      </w:r>
      <w:r>
        <w:t>номоченными на то в установленном порядке представителями Сторон. Договор может быть изменен или дополнен и по иным основаниям, предусмотренным законодательством Российской Федерации.</w:t>
      </w:r>
    </w:p>
    <w:p w:rsidR="00401792" w:rsidRDefault="0051377C">
      <w:r>
        <w:t>7.2. Настоящий Договор может быть расторгнут по соглашению Сторон, а так</w:t>
      </w:r>
      <w:r>
        <w:t>же в иных случаях, установленных законодательством Российской Федерации.</w:t>
      </w:r>
    </w:p>
    <w:p w:rsidR="00401792" w:rsidRDefault="00401792"/>
    <w:p w:rsidR="00401792" w:rsidRDefault="0051377C">
      <w:pPr>
        <w:numPr>
          <w:ilvl w:val="0"/>
          <w:numId w:val="4"/>
        </w:num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НАСТОЯЩЕГО ДОГОВОРА</w:t>
      </w:r>
    </w:p>
    <w:p w:rsidR="00401792" w:rsidRDefault="0051377C">
      <w:r>
        <w:t xml:space="preserve">8.1.Настоящий договор вступает в силу с момента его подписания и действует до момента полного исполнения обязательств сторонами, </w:t>
      </w:r>
      <w:r>
        <w:t>но не позднее 20 декабря 2023 г.</w:t>
      </w:r>
    </w:p>
    <w:p w:rsidR="00401792" w:rsidRDefault="00401792"/>
    <w:p w:rsidR="00401792" w:rsidRDefault="0051377C">
      <w:pPr>
        <w:numPr>
          <w:ilvl w:val="0"/>
          <w:numId w:val="4"/>
        </w:numPr>
        <w:jc w:val="center"/>
      </w:pPr>
      <w:r>
        <w:rPr>
          <w:b/>
          <w:bCs/>
        </w:rPr>
        <w:t>ЗАКЛЮЧИТЕЛЬНЫЕ ПОЛОЖЕНИЯ</w:t>
      </w:r>
    </w:p>
    <w:p w:rsidR="00401792" w:rsidRDefault="0051377C">
      <w:r>
        <w:rPr>
          <w:rFonts w:ascii="Times New Roman" w:eastAsia="Times New Roman" w:hAnsi="Times New Roman" w:cs="Times New Roman"/>
          <w:sz w:val="24"/>
          <w:szCs w:val="24"/>
        </w:rPr>
        <w:t>9.1.Все споры, вытекающие из настоящего Договора, Стороны договорились разрешать мирным путем через переговоры. Если споры (разногласия) не удалось разрешить мирным путем, любая Сторона вправе пере</w:t>
      </w:r>
      <w:r>
        <w:rPr>
          <w:rFonts w:ascii="Times New Roman" w:eastAsia="Times New Roman" w:hAnsi="Times New Roman" w:cs="Times New Roman"/>
          <w:sz w:val="24"/>
          <w:szCs w:val="24"/>
        </w:rPr>
        <w:t>дать такой спор (разногласие) на рассмотрение Арбитражного суда города Санкт-Петербурга и Ленинградской области.</w:t>
      </w:r>
    </w:p>
    <w:p w:rsidR="00401792" w:rsidRDefault="0051377C">
      <w:r>
        <w:rPr>
          <w:rFonts w:ascii="Times New Roman" w:eastAsia="Times New Roman" w:hAnsi="Times New Roman" w:cs="Times New Roman"/>
          <w:sz w:val="24"/>
          <w:szCs w:val="24"/>
        </w:rPr>
        <w:t>9.2.Настоящий Договор составлен в двух идентичных, имеющих одинаковую юридическую силу экземплярах, по одному для каждой из Сторон.</w:t>
      </w:r>
    </w:p>
    <w:p w:rsidR="00401792" w:rsidRDefault="0051377C">
      <w:r>
        <w:rPr>
          <w:rFonts w:ascii="Times New Roman" w:eastAsia="Times New Roman" w:hAnsi="Times New Roman" w:cs="Times New Roman"/>
          <w:sz w:val="24"/>
          <w:szCs w:val="24"/>
        </w:rPr>
        <w:t>9.3. Во все</w:t>
      </w:r>
      <w:r>
        <w:rPr>
          <w:rFonts w:ascii="Times New Roman" w:eastAsia="Times New Roman" w:hAnsi="Times New Roman" w:cs="Times New Roman"/>
          <w:sz w:val="24"/>
          <w:szCs w:val="24"/>
        </w:rPr>
        <w:t>м ином, что не урегулировано настоящим Договором Стороны руководствуются действующим законодательством Российской Федерации.</w:t>
      </w:r>
    </w:p>
    <w:p w:rsidR="00401792" w:rsidRDefault="0051377C">
      <w:r>
        <w:rPr>
          <w:rFonts w:ascii="Times New Roman" w:eastAsia="Times New Roman" w:hAnsi="Times New Roman" w:cs="Times New Roman"/>
          <w:sz w:val="24"/>
          <w:szCs w:val="24"/>
        </w:rPr>
        <w:t xml:space="preserve">9.4.В случае изменения любого из реквизитов, указанных в статье 11 настоящего договора, Стороны обязуются немедленно информировать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друг друга о таком изменении. В случае несоблюдения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401792" w:rsidRDefault="0051377C">
      <w:pPr>
        <w:numPr>
          <w:ilvl w:val="0"/>
          <w:numId w:val="4"/>
        </w:numPr>
        <w:jc w:val="center"/>
      </w:pPr>
      <w:r>
        <w:rPr>
          <w:b/>
          <w:bCs/>
        </w:rPr>
        <w:t>ПРИЛОЖЕНИЯ</w:t>
      </w:r>
    </w:p>
    <w:p w:rsidR="00401792" w:rsidRDefault="0051377C"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.1.Техническое задание – приложение 1.</w:t>
      </w:r>
    </w:p>
    <w:p w:rsidR="00401792" w:rsidRDefault="0051377C">
      <w:r>
        <w:rPr>
          <w:rFonts w:ascii="Times New Roman" w:eastAsia="Times New Roman" w:hAnsi="Times New Roman" w:cs="Times New Roman"/>
          <w:sz w:val="24"/>
          <w:szCs w:val="24"/>
        </w:rPr>
        <w:t>10.2.Приложения являются неотъемлемой частью настоящего договора.</w:t>
      </w:r>
    </w:p>
    <w:p w:rsidR="00401792" w:rsidRDefault="00401792"/>
    <w:p w:rsidR="00401792" w:rsidRDefault="0051377C">
      <w:pPr>
        <w:numPr>
          <w:ilvl w:val="0"/>
          <w:numId w:val="4"/>
        </w:numPr>
        <w:spacing w:after="0"/>
        <w:jc w:val="center"/>
      </w:pPr>
      <w:r>
        <w:rPr>
          <w:b/>
          <w:bCs/>
          <w:sz w:val="24"/>
          <w:szCs w:val="24"/>
        </w:rPr>
        <w:lastRenderedPageBreak/>
        <w:t>АДРЕСА И РЕКВИЗИТЫ СТОРОН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680"/>
      </w:tblGrid>
      <w:tr w:rsidR="00401792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786" w:type="dxa"/>
          </w:tcPr>
          <w:p w:rsidR="00401792" w:rsidRDefault="0051377C">
            <w:pPr>
              <w:spacing w:after="0"/>
              <w:ind w:left="-2192"/>
            </w:pPr>
            <w:r>
              <w:rPr>
                <w:b/>
                <w:bCs/>
                <w:sz w:val="24"/>
                <w:szCs w:val="24"/>
              </w:rPr>
              <w:t>Заказчик: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b/>
                <w:bCs/>
                <w:sz w:val="24"/>
                <w:szCs w:val="24"/>
              </w:rPr>
              <w:t>ГАОУ ДПО «ЛОИРО»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Юридический/фактический адрес: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197136 г. Санкт-Петербург, пр. Чкаловский, д. 25а, лит. А.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ИНН 470</w:t>
            </w:r>
            <w:r>
              <w:rPr>
                <w:sz w:val="24"/>
                <w:szCs w:val="24"/>
              </w:rPr>
              <w:t>5016800, КПП 781301001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ОКВЭД 85.42,      ОГРН - 1024701243390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b/>
                <w:bCs/>
              </w:rPr>
              <w:t>Реквизиты банковские:</w:t>
            </w:r>
          </w:p>
          <w:p w:rsidR="00401792" w:rsidRDefault="0051377C"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КОМИТЕТ ФИНАНСОВ ЛЕНИНГРАДСКОЙ ОБЛАСТИ </w:t>
            </w:r>
          </w:p>
          <w:p w:rsidR="00401792" w:rsidRDefault="0051377C"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(ГАОУ ДПО "ЛОИРО" л/с 31723068049)</w:t>
            </w:r>
          </w:p>
          <w:p w:rsidR="00401792" w:rsidRDefault="0051377C">
            <w:r>
              <w:rPr>
                <w:sz w:val="23"/>
                <w:szCs w:val="23"/>
              </w:rPr>
              <w:t>Казначейский счет 03224643410000004500</w:t>
            </w:r>
          </w:p>
          <w:p w:rsidR="00401792" w:rsidRDefault="0051377C">
            <w:r>
              <w:rPr>
                <w:sz w:val="23"/>
                <w:szCs w:val="23"/>
              </w:rPr>
              <w:t>БИК ТОФК 014106101</w:t>
            </w:r>
          </w:p>
          <w:p w:rsidR="00401792" w:rsidRDefault="0051377C">
            <w:r>
              <w:rPr>
                <w:sz w:val="23"/>
                <w:szCs w:val="23"/>
              </w:rPr>
              <w:t>Банк:</w:t>
            </w:r>
          </w:p>
          <w:p w:rsidR="00401792" w:rsidRDefault="0051377C">
            <w:r>
              <w:rPr>
                <w:sz w:val="23"/>
                <w:szCs w:val="23"/>
              </w:rPr>
              <w:t>ОТДЕЛЕНИЕ ЛЕНИНГРАДСКОЕ БАНКА РОССИИ//УФК по Ленинградской области, г. Санкт-Петербург</w:t>
            </w:r>
          </w:p>
          <w:p w:rsidR="00401792" w:rsidRDefault="0051377C">
            <w:r>
              <w:rPr>
                <w:sz w:val="23"/>
                <w:szCs w:val="23"/>
              </w:rPr>
              <w:t>Единый казначейский счет 40102810745370000006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Тел. 372-50-39, факс 372-53-92</w:t>
            </w:r>
          </w:p>
          <w:p w:rsidR="00401792" w:rsidRDefault="0051377C">
            <w:pPr>
              <w:spacing w:after="0"/>
              <w:ind w:left="-752"/>
            </w:pPr>
            <w:r>
              <w:rPr>
                <w:sz w:val="24"/>
                <w:szCs w:val="24"/>
              </w:rPr>
              <w:t xml:space="preserve"> Ректор</w:t>
            </w:r>
          </w:p>
          <w:p w:rsidR="00401792" w:rsidRDefault="0051377C">
            <w:pPr>
              <w:spacing w:after="0"/>
              <w:ind w:left="-752"/>
            </w:pPr>
            <w:r>
              <w:rPr>
                <w:sz w:val="24"/>
                <w:szCs w:val="24"/>
              </w:rPr>
              <w:t>______________ Ковальчук О.В.</w:t>
            </w:r>
          </w:p>
          <w:p w:rsidR="00401792" w:rsidRDefault="0051377C">
            <w:pPr>
              <w:spacing w:after="0"/>
              <w:ind w:left="-752"/>
            </w:pPr>
            <w:r>
              <w:rPr>
                <w:sz w:val="24"/>
                <w:szCs w:val="24"/>
              </w:rPr>
              <w:t>мп.</w:t>
            </w:r>
          </w:p>
        </w:tc>
        <w:tc>
          <w:tcPr>
            <w:tcW w:w="4680" w:type="dxa"/>
          </w:tcPr>
          <w:p w:rsidR="00401792" w:rsidRDefault="0051377C">
            <w:pPr>
              <w:spacing w:after="0"/>
              <w:ind w:left="-2192"/>
            </w:pPr>
            <w:r>
              <w:rPr>
                <w:b/>
                <w:bCs/>
                <w:sz w:val="24"/>
                <w:szCs w:val="24"/>
              </w:rPr>
              <w:t>Исполнитель: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b/>
                <w:bCs/>
                <w:sz w:val="24"/>
                <w:szCs w:val="24"/>
              </w:rPr>
              <w:t>ООО «Студия «Март»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Юридический/фактич</w:t>
            </w:r>
            <w:r>
              <w:rPr>
                <w:sz w:val="24"/>
                <w:szCs w:val="24"/>
              </w:rPr>
              <w:t>еский адрес: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192029 г. Санкт-Петербург, пр. Ткачей, д. 3, кв. 26.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ИНН 7811469396, КПП 781101001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ОКВЭД 62.09, 62.01, 62.02,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ОГРН – 1107847239830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b/>
                <w:bCs/>
              </w:rPr>
              <w:t>Реквизиты банковские: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р/с 40702810055040016713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в Северо-Западный банк ПАО Сбербанк,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г. Санкт-Петербург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к/с 30101</w:t>
            </w:r>
            <w:r>
              <w:rPr>
                <w:sz w:val="24"/>
                <w:szCs w:val="24"/>
              </w:rPr>
              <w:t>810500000000653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Тел. 942-46-55</w:t>
            </w:r>
          </w:p>
          <w:p w:rsidR="00401792" w:rsidRDefault="00401792"/>
          <w:p w:rsidR="00401792" w:rsidRDefault="00401792"/>
          <w:p w:rsidR="00401792" w:rsidRDefault="00401792"/>
          <w:p w:rsidR="00401792" w:rsidRDefault="00401792"/>
          <w:p w:rsidR="00401792" w:rsidRDefault="0051377C">
            <w:pPr>
              <w:spacing w:after="0"/>
              <w:ind w:left="-752"/>
            </w:pPr>
            <w:r>
              <w:rPr>
                <w:sz w:val="24"/>
                <w:szCs w:val="24"/>
              </w:rPr>
              <w:t xml:space="preserve"> Директор</w:t>
            </w:r>
          </w:p>
          <w:p w:rsidR="00401792" w:rsidRDefault="0051377C">
            <w:pPr>
              <w:spacing w:after="0"/>
              <w:ind w:left="-752"/>
            </w:pPr>
            <w:r>
              <w:rPr>
                <w:sz w:val="24"/>
                <w:szCs w:val="24"/>
              </w:rPr>
              <w:t>______________ Кондратьева И.Н.</w:t>
            </w:r>
          </w:p>
          <w:p w:rsidR="00401792" w:rsidRDefault="0051377C">
            <w:pPr>
              <w:spacing w:after="0"/>
            </w:pPr>
            <w:r>
              <w:rPr>
                <w:sz w:val="24"/>
                <w:szCs w:val="24"/>
              </w:rPr>
              <w:t>мп.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786" w:type="dxa"/>
          </w:tcPr>
          <w:p w:rsidR="00401792" w:rsidRDefault="00401792"/>
        </w:tc>
        <w:tc>
          <w:tcPr>
            <w:tcW w:w="4680" w:type="dxa"/>
          </w:tcPr>
          <w:p w:rsidR="00401792" w:rsidRDefault="00401792"/>
        </w:tc>
      </w:tr>
    </w:tbl>
    <w:p w:rsidR="00401792" w:rsidRDefault="00401792"/>
    <w:p w:rsidR="00401792" w:rsidRDefault="00401792"/>
    <w:p w:rsidR="00401792" w:rsidRDefault="00401792"/>
    <w:p w:rsidR="00401792" w:rsidRDefault="00401792"/>
    <w:p w:rsidR="00401792" w:rsidRDefault="00401792"/>
    <w:p w:rsidR="00401792" w:rsidRDefault="00401792"/>
    <w:p w:rsidR="00401792" w:rsidRDefault="00401792"/>
    <w:p w:rsidR="00401792" w:rsidRDefault="00401792"/>
    <w:p w:rsidR="00401792" w:rsidRDefault="00401792"/>
    <w:p w:rsidR="00401792" w:rsidRDefault="00401792"/>
    <w:p w:rsidR="00401792" w:rsidRDefault="00401792"/>
    <w:p w:rsidR="00401792" w:rsidRDefault="00401792"/>
    <w:p w:rsidR="00401792" w:rsidRDefault="0051377C">
      <w:pPr>
        <w:ind w:left="19168"/>
        <w:jc w:val="right"/>
      </w:pPr>
      <w:r>
        <w:t>Прил</w:t>
      </w:r>
      <w:r>
        <w:lastRenderedPageBreak/>
        <w:t>ожение 1</w:t>
      </w:r>
    </w:p>
    <w:p w:rsidR="00401792" w:rsidRDefault="0051377C">
      <w:pPr>
        <w:ind w:left="19168"/>
        <w:jc w:val="right"/>
      </w:pPr>
      <w:r>
        <w:t xml:space="preserve"> К договору № _____________</w:t>
      </w:r>
    </w:p>
    <w:p w:rsidR="00401792" w:rsidRDefault="0051377C">
      <w:pPr>
        <w:ind w:left="19168"/>
        <w:jc w:val="right"/>
      </w:pPr>
      <w:r>
        <w:t>От ______________</w:t>
      </w:r>
      <w:r>
        <w:lastRenderedPageBreak/>
        <w:t>_____2023 г.</w:t>
      </w:r>
    </w:p>
    <w:p w:rsidR="00401792" w:rsidRDefault="000800E5" w:rsidP="000800E5">
      <w:pPr>
        <w:spacing w:after="0" w:line="240" w:lineRule="auto"/>
        <w:jc w:val="right"/>
      </w:pPr>
      <w:r>
        <w:t xml:space="preserve"> Приложение 1</w:t>
      </w:r>
    </w:p>
    <w:p w:rsidR="000800E5" w:rsidRDefault="000800E5" w:rsidP="000800E5">
      <w:pPr>
        <w:spacing w:after="0" w:line="240" w:lineRule="auto"/>
        <w:jc w:val="right"/>
      </w:pPr>
      <w:r>
        <w:t xml:space="preserve"> К договору №17-ЗК/ЭФ-23</w:t>
      </w:r>
    </w:p>
    <w:p w:rsidR="000800E5" w:rsidRDefault="000800E5" w:rsidP="000800E5">
      <w:pPr>
        <w:spacing w:after="0" w:line="240" w:lineRule="auto"/>
        <w:jc w:val="right"/>
      </w:pPr>
      <w:r>
        <w:t>От 02.05.2023 г.</w:t>
      </w:r>
    </w:p>
    <w:p w:rsidR="00401792" w:rsidRDefault="00401792"/>
    <w:p w:rsidR="00401792" w:rsidRDefault="0051377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Техническое задание</w:t>
      </w:r>
      <w:bookmarkStart w:id="0" w:name="_GoBack"/>
      <w:bookmarkEnd w:id="0"/>
    </w:p>
    <w:p w:rsidR="00401792" w:rsidRDefault="0051377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На оказание комплекса услуг по организации и проведению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диагностических процедур для выявления индивидуальных и групповых дефицитов общеучебных умений обучающихся начальной школы Ленинградской области</w:t>
      </w:r>
    </w:p>
    <w:p w:rsidR="00401792" w:rsidRDefault="00401792"/>
    <w:p w:rsidR="00401792" w:rsidRDefault="00401792"/>
    <w:p w:rsidR="00401792" w:rsidRDefault="0051377C">
      <w:pPr>
        <w:numPr>
          <w:ilvl w:val="0"/>
          <w:numId w:val="8"/>
        </w:numPr>
        <w:suppressAutoHyphens/>
        <w:ind w:left="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«Информационно-методическое сопровождение системы управления и оценки качества 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азования, проведение национально-региональных оценочных процедур»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(организация и проведение диагностических процедур для выявления индивидуальных и групповых дефицитов общеучебных умений обучающихся начальной школы)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комплекса процессных 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й «Развитие системы оценки и контроля качества образования» подпрограммы «Обеспечение условий развития современного образования» государственной программы Ленинградской области «Современное образование Ленинградской области», утвержденной постановлением Пр</w:t>
      </w:r>
      <w:r>
        <w:rPr>
          <w:rFonts w:ascii="Times New Roman" w:eastAsia="Times New Roman" w:hAnsi="Times New Roman" w:cs="Times New Roman"/>
          <w:sz w:val="24"/>
          <w:szCs w:val="24"/>
        </w:rPr>
        <w:t>авительства Ленинградской области от 14 ноября 2013 года № 398.</w:t>
      </w:r>
    </w:p>
    <w:p w:rsidR="00401792" w:rsidRDefault="00401792"/>
    <w:p w:rsidR="00401792" w:rsidRDefault="0051377C">
      <w:pPr>
        <w:numPr>
          <w:ilvl w:val="0"/>
          <w:numId w:val="8"/>
        </w:numPr>
        <w:suppressAutoHyphens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реализации мероприятий</w:t>
      </w:r>
    </w:p>
    <w:p w:rsidR="00401792" w:rsidRDefault="0051377C">
      <w:pPr>
        <w:numPr>
          <w:ilvl w:val="1"/>
          <w:numId w:val="5"/>
        </w:numPr>
        <w:ind w:left="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реализации мероприятий:</w:t>
      </w:r>
    </w:p>
    <w:p w:rsidR="00401792" w:rsidRDefault="0051377C">
      <w:pPr>
        <w:suppressAutoHyphens/>
      </w:pPr>
      <w:r>
        <w:t>Мероприятие нацелено на повышение качества образования в начальной школе за счет использования персонализированной модели обу</w:t>
      </w:r>
      <w:r>
        <w:t xml:space="preserve">чения и активных цифровых учебных практик. </w:t>
      </w:r>
    </w:p>
    <w:p w:rsidR="00401792" w:rsidRDefault="0051377C">
      <w:pPr>
        <w:suppressAutoHyphens/>
      </w:pPr>
      <w:r>
        <w:rPr>
          <w:b/>
          <w:bCs/>
        </w:rPr>
        <w:t>Задачи исследования</w:t>
      </w:r>
      <w:r>
        <w:t>:</w:t>
      </w:r>
    </w:p>
    <w:p w:rsidR="00401792" w:rsidRDefault="0051377C">
      <w:pPr>
        <w:suppressAutoHyphens/>
      </w:pPr>
      <w:r>
        <w:t>- формирование инфраструктуры личных кабинетов на самостоятельной цифровой платформе для проведения и мониторинга диагностических процедур в общеобразовательных организациях Ленинградской обл</w:t>
      </w:r>
      <w:r>
        <w:t>асти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проведение диагностических процедур в 3-4 классах общеобразовательных организаций Ленинградской области для выявления индивидуальных и групповых дефицитов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общеучебных умений и особенностей учебного поведения обучающихся начальной школы;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</w:t>
      </w:r>
      <w:r>
        <w:rPr>
          <w:rFonts w:ascii="Times New Roman" w:eastAsia="Times New Roman" w:hAnsi="Times New Roman" w:cs="Times New Roman"/>
          <w:sz w:val="24"/>
          <w:szCs w:val="24"/>
        </w:rPr>
        <w:t>е проведения регулярных учебных занятий с использованием цифровой платформы (адаптированной с учетом специфики начальной школы), обеспечивающей фиксацию всех учебных действий обучающихся (1000 человек);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осуществление мониторинга текущих результатов обуча</w:t>
      </w:r>
      <w:r>
        <w:rPr>
          <w:rFonts w:ascii="Times New Roman" w:eastAsia="Times New Roman" w:hAnsi="Times New Roman" w:cs="Times New Roman"/>
          <w:sz w:val="24"/>
          <w:szCs w:val="24"/>
        </w:rPr>
        <w:t>ющихся в процессе проведения диагностических процедур;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индивидуальных аналитических отчетов по каждому обучающемуся (не менее 1000), групповых аналитических отчетов (по не менее 25 школам и не менее 50 классам) с обозначением возможных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овых дефицитов по каждому классу и школе в целом), общего аналитического отчета, в которых выявляются индивидуальные и групповые дефициты общеучебных умений обучающихся начальной школы. </w:t>
      </w:r>
    </w:p>
    <w:p w:rsidR="00401792" w:rsidRDefault="00401792"/>
    <w:p w:rsidR="00401792" w:rsidRDefault="0051377C">
      <w:pPr>
        <w:suppressAutoHyphens/>
      </w:pPr>
      <w:r>
        <w:rPr>
          <w:b/>
          <w:bCs/>
        </w:rPr>
        <w:t>3. Требования к содержанию</w:t>
      </w:r>
    </w:p>
    <w:p w:rsidR="00401792" w:rsidRDefault="0051377C">
      <w:pPr>
        <w:suppressAutoHyphens/>
      </w:pPr>
      <w:r>
        <w:t>Непосредственным содержанием мероприятия является проведение диагностических процедур для выявления индивидуальных и групповых дефицитов общеучебных умений и особенностей учебного поведения обучающихся начальной школы (3-4 классы). На основе результатов ди</w:t>
      </w:r>
      <w:r>
        <w:t>агностики будет реализована программа индивидуального тренинга, способствующая формированию у обучающихся основ функциональной грамотности в соответствии с требованиями обновленного ФГОС НОО.</w:t>
      </w:r>
    </w:p>
    <w:p w:rsidR="00401792" w:rsidRDefault="0051377C">
      <w:pPr>
        <w:suppressAutoHyphens/>
      </w:pPr>
      <w:r>
        <w:t>Участниками мероприятия являются как обучающиеся в начальной шко</w:t>
      </w:r>
      <w:r>
        <w:t>ле (не менее 1000 учеников), так и взрослые участники образовательных отношений: учителя начальных классов, представители школьной администрации, специалисты методических служб и центров оценки качества, родители обучающихся. Диагностические процедуры пров</w:t>
      </w:r>
      <w:r>
        <w:t>одятся в образовательных организациях Ленинградской области, реализующих программы начального общего образования.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3.1. 1-й этап работы – организационно-методическая подготовка к проведению диагностических процедур: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3.1.1. Проведение ознакомительного семина</w:t>
      </w:r>
      <w:r>
        <w:rPr>
          <w:rFonts w:ascii="Times New Roman" w:eastAsia="Times New Roman" w:hAnsi="Times New Roman" w:cs="Times New Roman"/>
          <w:sz w:val="24"/>
          <w:szCs w:val="24"/>
        </w:rPr>
        <w:t>ра (вебинара) продолжительностью не менее 1 академического часа для школьных руководителей и представителей педагогических коллективов – потенциальных участников диагностических процедур (участники – не менее 25 общеобразовательных организаций).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3.1.2. Фор</w:t>
      </w:r>
      <w:r>
        <w:rPr>
          <w:rFonts w:ascii="Times New Roman" w:eastAsia="Times New Roman" w:hAnsi="Times New Roman" w:cs="Times New Roman"/>
          <w:sz w:val="24"/>
          <w:szCs w:val="24"/>
        </w:rPr>
        <w:t>мирование кластера образовательных организаций для непосредственного участия в проведении диагностических процедур: список школ, перечень классов, кандидатуры педагогов.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3.1.3. Проведение не менее 2 обучающих семинаров (вебинаров) продолжительностью не 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2 академических часов для не менее 50 учителей начальной школы, непосредственно участвующих в проведении диагностики, и школьных координаторов. 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3.2. 2-й этап работы – организация и проведение диагностических процедур в школах среди обучающихся 3-4 клас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сов: 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3.2.1. Формирование инфраструктуры личных кабинетов на самостоятельной цифровой платформе для проведения и мониторинга диагностических процедур для каждой школы (кластер / школа координатор / класс / учитель / ученик / родитель) – создание личных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каб</w:t>
      </w:r>
      <w:r>
        <w:rPr>
          <w:rFonts w:ascii="Times New Roman" w:eastAsia="Times New Roman" w:hAnsi="Times New Roman" w:cs="Times New Roman"/>
          <w:sz w:val="24"/>
          <w:szCs w:val="24"/>
        </w:rPr>
        <w:t>инетов: регионального координатора – не менее 1, координаторов – не менее 25, учителей – не менее 50, обучающихся – не менее 1000, родителей – не менее 1000.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3.2.2. Предоставление доступа (передача логинов и паролей от личных кабинетов –активация 1000 учен</w:t>
      </w:r>
      <w:r>
        <w:rPr>
          <w:rFonts w:ascii="Times New Roman" w:eastAsia="Times New Roman" w:hAnsi="Times New Roman" w:cs="Times New Roman"/>
          <w:sz w:val="24"/>
          <w:szCs w:val="24"/>
        </w:rPr>
        <w:t>ических лицензий) к метапредметным заданиям диагностического модуля, нацеленным на выявление у обучающихся дефицитов учебно-информационных умений, для их выполнения на цифровой платформе; диагностический модуль содержит 21 задание, 297 элементарных 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действий. 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3.2.3. Деятельность по обеспечению проведения регулярных учебных занятий с использованием цифровой платформы (адаптированной с учетом специфики начальной школы), обеспечивающей фиксацию всех учебных действий обучающихся (1000 человек) и доступ </w:t>
      </w:r>
      <w:r>
        <w:rPr>
          <w:rFonts w:ascii="Times New Roman" w:eastAsia="Times New Roman" w:hAnsi="Times New Roman" w:cs="Times New Roman"/>
          <w:sz w:val="24"/>
          <w:szCs w:val="24"/>
        </w:rPr>
        <w:t>к этой информации из личных кабинетов координаторов, учителей и родителей; техническая поддержка.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3.2.4. Деятельность по обеспечению мониторинга текущих результатов обучающихся в процессе проведения диагностических процедур, консультационная поддержка со с</w:t>
      </w:r>
      <w:r>
        <w:rPr>
          <w:rFonts w:ascii="Times New Roman" w:eastAsia="Times New Roman" w:hAnsi="Times New Roman" w:cs="Times New Roman"/>
          <w:sz w:val="24"/>
          <w:szCs w:val="24"/>
        </w:rPr>
        <w:t>тороны организации-исполнителя через систему личных кабинетов на цифровой платформе (регионального координатора – не менее 1, школьных координаторов – не менее 25, учителей – не менее 50, родителей – не менее 1000).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3.3. 3-й этап работы – формирование анал</w:t>
      </w:r>
      <w:r>
        <w:rPr>
          <w:rFonts w:ascii="Times New Roman" w:eastAsia="Times New Roman" w:hAnsi="Times New Roman" w:cs="Times New Roman"/>
          <w:sz w:val="24"/>
          <w:szCs w:val="24"/>
        </w:rPr>
        <w:t>итических отчетов по результатам диагностических процедур: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 Формирование индивидуальных аналитических отчетов по каждому обучающемуся (не менее 1000 человек), выполнявшему задания диагностики (не менее 4 параметров, отражающих способность извлечения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информации из учебных ресурсов разных типов, не менее 4 параметров, отражающих корректность действий с учебной информацией); обеспечение доступа к электронной версии отчета в личных кабинетах школьного координаторов, учителей, родителей.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3.3.2. 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 групповых аналитических отчетов (на основе индивидуальных результатов обучающихся) с обозначением возможных групповых дефицитов по каждому классу и школе в целом (по не менее 25 школам и не менее 50 классам – объем каждого отчета – не менее 0,1 п.л. форм</w:t>
      </w:r>
      <w:r>
        <w:rPr>
          <w:rFonts w:ascii="Times New Roman" w:eastAsia="Times New Roman" w:hAnsi="Times New Roman" w:cs="Times New Roman"/>
          <w:sz w:val="24"/>
          <w:szCs w:val="24"/>
        </w:rPr>
        <w:t>ат А4, кегль 14, межстрочный интервал 1,5).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3.3.3. Формирование общего аналитического отчета по проведенным диагностическим процедурам (не менее 2,5 п.л. формат А4, кегль 14, межстрочный интервал 1,5).</w:t>
      </w:r>
    </w:p>
    <w:p w:rsidR="00401792" w:rsidRDefault="0051377C">
      <w:pPr>
        <w:suppressAutoHyphens/>
      </w:pPr>
      <w:r>
        <w:rPr>
          <w:b/>
          <w:bCs/>
        </w:rPr>
        <w:t xml:space="preserve">4. Требования к объему услуг: </w:t>
      </w:r>
      <w:r>
        <w:t xml:space="preserve">работа проводится в три </w:t>
      </w:r>
      <w:r>
        <w:t>этапа:</w:t>
      </w:r>
    </w:p>
    <w:p w:rsidR="00401792" w:rsidRDefault="0051377C">
      <w:r>
        <w:rPr>
          <w:color w:val="000000"/>
        </w:rPr>
        <w:t xml:space="preserve">4.1. Организационно-методическая подготовка к проведению диагностических процедур предполагает проведение ознакомительного вебинара </w:t>
      </w:r>
      <w:r>
        <w:t>для школьных руководителей и представителей педагогических коллективов – потенциальных участников диагностических про</w:t>
      </w:r>
      <w:r>
        <w:t xml:space="preserve">цедур. Вебинар должен содержать информацию об особенностях работы с цифровой платформой и специфике проведения диагностических работ. Также на первом этапе предполагается проведение двух обучающих вебинаров по содержанию и процедуре проведения диагностики </w:t>
      </w:r>
      <w:r>
        <w:t xml:space="preserve">обучающихся начальной школы. </w:t>
      </w:r>
    </w:p>
    <w:p w:rsidR="00401792" w:rsidRDefault="005137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На этапе организации и проведения диагностических процедур в школах среди обучающихся 3-4 классов предполагается формирование инфраструктуры личных кабинетов на самостоятельной цифровой платформе и предоставление доступа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метапредметным заданиям диагностического модуля, нацеленным на выявление у обучающихся дефицитов учебно-информационных умений, для их выполнения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цифровой платформе, а также деятельность по обеспечению проведения регулярных учебных занятий с использова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нием цифровой платформы (адаптированной с учетом специфики начальной школы), обеспечивающей фиксацию всех учебных действий обучающихся, и деятельность по обеспечению мониторинга текущих результатов обучающихся в процессе проведения диагностических процедур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консультационной поддержкой со стороны организации-исполнителя. </w:t>
      </w:r>
    </w:p>
    <w:p w:rsidR="00401792" w:rsidRDefault="0051377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 На третьем этапе диагностики необходимо провести анализ результатов и составить индивидуальные аналитические отчеты по каждому обучающемуся (не менее 1000), групповые аналитические отчеты (по не менее 25 школам и не менее 50 классам) с обозначением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зможных групповых дефицитов по каждому классу и школе в целом), общий аналитический отчет. </w:t>
      </w:r>
    </w:p>
    <w:p w:rsidR="00401792" w:rsidRDefault="00401792"/>
    <w:p w:rsidR="00401792" w:rsidRDefault="0051377C">
      <w:pPr>
        <w:suppressAutoHyphens/>
      </w:pPr>
      <w:r>
        <w:rPr>
          <w:b/>
          <w:bCs/>
        </w:rPr>
        <w:t>5. Требования к качеству услуг:</w:t>
      </w:r>
    </w:p>
    <w:p w:rsidR="00401792" w:rsidRDefault="0051377C">
      <w:pPr>
        <w:numPr>
          <w:ilvl w:val="0"/>
          <w:numId w:val="9"/>
        </w:numPr>
        <w:suppressAutoHyphens/>
        <w:ind w:left="0"/>
      </w:pPr>
      <w:r>
        <w:rPr>
          <w:b/>
          <w:bCs/>
          <w:i/>
          <w:iCs/>
        </w:rPr>
        <w:t>Требования к проведению диагностических процедур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 xml:space="preserve">Диагностические процедуры должны проводиться в цифровом формате в режиме online с </w:t>
      </w:r>
      <w:r>
        <w:t>детальной фиксацией хода и результатов учебных действий обучающихся в виде цифрового следа (трека) по каждому заданию.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>Задания диагностического модуля должны выполняться обучающимися индивидуально под наблюдением учителя. Среднее время проведения диагностических процедур в классах – 1 учебный час в неделю в течение периода проведения диагностических процедур: с сентября по</w:t>
      </w:r>
      <w:r>
        <w:t xml:space="preserve"> декабрь 2023 г.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 xml:space="preserve">Проведение диагностических процедур не должно требовать установки какого-либо программного обеспечения на школьные компьютеры. Доступ к заданиям диагностического модуля должен быть обеспечен обучающимся в их личных кабинетах через </w:t>
      </w:r>
      <w:r>
        <w:rPr>
          <w:lang w:val="en-US"/>
        </w:rPr>
        <w:t>web</w:t>
      </w:r>
      <w:r>
        <w:t>-брау</w:t>
      </w:r>
      <w:r>
        <w:t xml:space="preserve">зер. 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>Диагностический модуль должен включать не менее 20 заданий метапредметного типа, требующих от обучающегося умения самостоятельно работать с различными типами информационных источников (тексты, таблицы, карты, схемы, диаграммы, рисунки и их комбинации</w:t>
      </w:r>
      <w:r>
        <w:t>) и выполнять с учебной информацией различные действия.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>Задания диагностического модуля должны быть построены таким образом, чтобы от обучающихся требовалось выполнение не менее 250 элементарных учебных действий различного типа.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>Обучающимся должна быть пре</w:t>
      </w:r>
      <w:r>
        <w:t>доставлена оперативная обратная связь от компьютера в виде бинарного сигнала (верно/неверно) и возможность исправить в процессе выполнения задания допущенные им ошибки.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>В процессе выполнения обучающимися учебных заданий должны фиксироваться не менее 10 пок</w:t>
      </w:r>
      <w:r>
        <w:t>азателей, характеризующих общеучебные (учебно-информационные) умения и учебное поведение обучающегося.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 xml:space="preserve">Процесс проведения диагностических процедур и выполнения учебных действий обучающимися должен быть доступен для контроля со стороны учителя и наблюдения </w:t>
      </w:r>
      <w:r>
        <w:t xml:space="preserve">со стороны родителей обучающегося в их личных кабинетах (через </w:t>
      </w:r>
      <w:r>
        <w:rPr>
          <w:lang w:val="en-US"/>
        </w:rPr>
        <w:t>web</w:t>
      </w:r>
      <w:r>
        <w:t>-браузер).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>В процессе проведения диагностических процедур Исполнитель должен обеспечить поддержку online коммуникаций между учителями и родителями через систему личных кабинетов.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lastRenderedPageBreak/>
        <w:t xml:space="preserve">В процессе </w:t>
      </w:r>
      <w:r>
        <w:t>проведения диагностических процедур Исполнитель должен обеспечить дистанционное педагогическое сопровождение и консультирование представителей школ и родителей обучающихся через систему личных кабинетов.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>Исполнитель обеспечивает (без дополнительного финанс</w:t>
      </w:r>
      <w:r>
        <w:t>ирования) авторское сопровождение и техническую поддержку программных сервисов в личных кабинетах участников диагностических процедур на период с января по май 2024 г.</w:t>
      </w:r>
    </w:p>
    <w:p w:rsidR="00401792" w:rsidRDefault="0051377C">
      <w:pPr>
        <w:numPr>
          <w:ilvl w:val="0"/>
          <w:numId w:val="9"/>
        </w:numPr>
        <w:suppressAutoHyphens/>
        <w:ind w:left="0"/>
        <w:jc w:val="both"/>
      </w:pPr>
      <w:r>
        <w:rPr>
          <w:b/>
          <w:bCs/>
          <w:i/>
          <w:iCs/>
        </w:rPr>
        <w:t>Требования к отчетам, представляемым Исполнителем по итогам диагностических процедур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 xml:space="preserve">По </w:t>
      </w:r>
      <w:r>
        <w:t>завершении диагностических процедур Исполнитель должен представить отчеты по каждому обучающемуся и групповые: по каждому классу, каждой школе и по всем школам образовательного кластера.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>Исполнитель должен предоставить учителям и родителям обучающихся дост</w:t>
      </w:r>
      <w:r>
        <w:t>уп к цифровому следу по каждому выполненному заданию.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>Исполнитель должен представить по каждому обучающемуся, полностью прошедшему диагностику, диагностическую карту и рекомендации по выбору учебной траектории для формирования основ функциональной грамотно</w:t>
      </w:r>
      <w:r>
        <w:t>сти. Количество индивидуальных показателей должно быть не менее 10. Значение показателей должно определяться не по отдельным заданиям, а по совокупности всех заданий диагностического модуля.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>Отчеты по школам должны содержать индивидуальные показатели, пред</w:t>
      </w:r>
      <w:r>
        <w:t>ставленные в сравнении с возрастной нормой (оцениваемой на основании данных по выборке не менее, чем 4000 записей результатов выполнения тех же заданий) для школьников, обучающихся в начальной школе.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>Отчеты по школам должны включать индивидуальные характер</w:t>
      </w:r>
      <w:r>
        <w:t>истики учебного поведения, дающие представления о мотивации обучающегося, его способности к самооценке и достижению положительной динамики в процессе выполнения диагностических заданий.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>Групповые отчеты должны представлять сравнительные данные по классам (</w:t>
      </w:r>
      <w:r>
        <w:t xml:space="preserve">в пределах школы) и по школам (в пределах кластера). </w:t>
      </w:r>
    </w:p>
    <w:p w:rsidR="00401792" w:rsidRDefault="0051377C">
      <w:pPr>
        <w:numPr>
          <w:ilvl w:val="1"/>
          <w:numId w:val="9"/>
        </w:numPr>
        <w:suppressAutoHyphens/>
        <w:ind w:left="0"/>
        <w:jc w:val="both"/>
      </w:pPr>
      <w:r>
        <w:t>Отчеты по школам предоставляются в электронном формате и рассылаются участникам мероприятия. Общий отчет по кластеру предоставляется Заказчику в электронном и печатном формате.</w:t>
      </w:r>
    </w:p>
    <w:p w:rsidR="00401792" w:rsidRDefault="00401792"/>
    <w:p w:rsidR="00401792" w:rsidRDefault="0051377C">
      <w:pPr>
        <w:suppressAutoHyphens/>
      </w:pPr>
      <w:r>
        <w:rPr>
          <w:b/>
          <w:bCs/>
        </w:rPr>
        <w:t>6. Источник финансирован</w:t>
      </w:r>
      <w:r>
        <w:rPr>
          <w:b/>
          <w:bCs/>
        </w:rPr>
        <w:t>ия:</w:t>
      </w:r>
      <w:r>
        <w:t xml:space="preserve"> субсидии на иные цели в целях исполнения и реализации мероприятий государственной программы Ленинградской области «Современное образование Ленинградской области» в 2023 году.</w:t>
      </w:r>
    </w:p>
    <w:p w:rsidR="00401792" w:rsidRDefault="00401792"/>
    <w:p w:rsidR="00401792" w:rsidRDefault="0051377C">
      <w:r>
        <w:rPr>
          <w:b/>
          <w:bCs/>
        </w:rPr>
        <w:t xml:space="preserve">7. Календарный план исполнения мероприятия: </w:t>
      </w:r>
      <w:r>
        <w:t>май – декабрь 2023года.</w:t>
      </w:r>
    </w:p>
    <w:p w:rsidR="00401792" w:rsidRDefault="0051377C">
      <w:pPr>
        <w:numPr>
          <w:ilvl w:val="1"/>
          <w:numId w:val="10"/>
        </w:numPr>
        <w:spacing w:after="0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осуществлять собственный независимый контроль работ Исполнителя в ходе каждого этапа.</w:t>
      </w:r>
    </w:p>
    <w:p w:rsidR="00401792" w:rsidRDefault="0051377C">
      <w:pPr>
        <w:numPr>
          <w:ilvl w:val="1"/>
          <w:numId w:val="6"/>
        </w:numPr>
        <w:spacing w:after="0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обязуется не разглашать результаты, полученные в ходе диагностик без письменного разрешения Заказчика. Исполнитель обеспечивает защиту конфиденциальности информации от несанкционированного использования, распространения или публикации. </w:t>
      </w:r>
    </w:p>
    <w:p w:rsidR="00401792" w:rsidRDefault="005137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конфиденциальности информации действует в течение всего времени оказания услуг, а также после окончания или расторжения договора в течение срока, установленного действующим законодательством Российской Федерации.</w:t>
      </w:r>
    </w:p>
    <w:p w:rsidR="00401792" w:rsidRDefault="0051377C">
      <w:pPr>
        <w:numPr>
          <w:ilvl w:val="1"/>
          <w:numId w:val="6"/>
        </w:numPr>
        <w:spacing w:after="0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 составлении аналитического отчета со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тороны Исполнителя проводятся: </w:t>
      </w:r>
    </w:p>
    <w:p w:rsidR="00401792" w:rsidRDefault="0051377C">
      <w:r>
        <w:t>обработка и анализ полученных данных в результате всех этапов исследования, в том числе: компьютерная обработка полученных данных;</w:t>
      </w:r>
    </w:p>
    <w:p w:rsidR="00401792" w:rsidRDefault="0051377C">
      <w:r>
        <w:t>подготовку комплексного информационно-аналитического отчета, включающего в себя создание табл</w:t>
      </w:r>
      <w:r>
        <w:t>иц и диаграмм, описание полученных результатов, опровержение/подтверждение гипотезы исследования, выводы по разделам исследования;</w:t>
      </w:r>
    </w:p>
    <w:p w:rsidR="00401792" w:rsidRDefault="0051377C">
      <w:r>
        <w:t>тиражирование результатов исследования (докладов, презентаций) в печатном виде для представления экспертному сообществу Ленин</w:t>
      </w:r>
      <w:r>
        <w:t>градской области;</w:t>
      </w:r>
    </w:p>
    <w:p w:rsidR="00401792" w:rsidRDefault="0051377C">
      <w:pPr>
        <w:keepNext/>
      </w:pPr>
      <w:r>
        <w:t>проведение заключительного вебинара с подготовкой презентации по результатам исследования.</w:t>
      </w:r>
    </w:p>
    <w:p w:rsidR="00401792" w:rsidRDefault="00401792"/>
    <w:p w:rsidR="00401792" w:rsidRDefault="0051377C">
      <w:pPr>
        <w:numPr>
          <w:ilvl w:val="0"/>
          <w:numId w:val="6"/>
        </w:num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результаты, практическая и научная значимость проводимого мероприятия:</w:t>
      </w:r>
    </w:p>
    <w:p w:rsidR="00401792" w:rsidRDefault="0051377C">
      <w:pPr>
        <w:numPr>
          <w:ilvl w:val="0"/>
          <w:numId w:val="7"/>
        </w:numPr>
        <w:ind w:left="0"/>
        <w:jc w:val="both"/>
      </w:pPr>
      <w:r>
        <w:t>Подготовка календарного плана проведения диагностических процед</w:t>
      </w:r>
      <w:r>
        <w:t>ур</w:t>
      </w:r>
      <w:r>
        <w:rPr>
          <w:color w:val="000000"/>
        </w:rPr>
        <w:t>.</w:t>
      </w:r>
    </w:p>
    <w:p w:rsidR="00401792" w:rsidRDefault="0051377C">
      <w:pPr>
        <w:numPr>
          <w:ilvl w:val="0"/>
          <w:numId w:val="7"/>
        </w:numPr>
        <w:ind w:left="0"/>
        <w:jc w:val="both"/>
      </w:pPr>
      <w:r>
        <w:rPr>
          <w:color w:val="000000"/>
        </w:rPr>
        <w:t>Подготовка данных к проведению статистической обработки для аналитических отчетов</w:t>
      </w:r>
    </w:p>
    <w:p w:rsidR="00401792" w:rsidRDefault="0051377C">
      <w:pPr>
        <w:numPr>
          <w:ilvl w:val="0"/>
          <w:numId w:val="7"/>
        </w:numPr>
        <w:ind w:left="0"/>
        <w:jc w:val="both"/>
      </w:pPr>
      <w:r>
        <w:rPr>
          <w:color w:val="000000"/>
        </w:rPr>
        <w:t>Проведение диагностических процедур и интерпретации полученных данных с подготовкой аналитических отчетов по всем участникам исследования (индивидуальных, групповых, обще</w:t>
      </w:r>
      <w:r>
        <w:rPr>
          <w:color w:val="000000"/>
        </w:rPr>
        <w:t>го)</w:t>
      </w:r>
    </w:p>
    <w:p w:rsidR="00401792" w:rsidRDefault="00401792">
      <w:pPr>
        <w:numPr>
          <w:ilvl w:val="0"/>
          <w:numId w:val="7"/>
        </w:numPr>
        <w:ind w:left="0"/>
        <w:jc w:val="both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155"/>
        <w:gridCol w:w="1739"/>
        <w:gridCol w:w="1755"/>
      </w:tblGrid>
      <w:tr w:rsidR="00401792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55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9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55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4"/>
            <w:shd w:val="clear" w:color="auto" w:fill="BFBFBF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ЭТАП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55" w:type="dxa"/>
          </w:tcPr>
          <w:p w:rsidR="00401792" w:rsidRDefault="0051377C">
            <w:r>
              <w:t>Количество ознакомительных семинаров (вебинар</w:t>
            </w:r>
            <w:r>
              <w:t>) для школьных руководителей и представителей педагогических коллективов – потенциальных участников диагностических процедур.</w:t>
            </w:r>
          </w:p>
          <w:p w:rsidR="00401792" w:rsidRDefault="00401792"/>
        </w:tc>
        <w:tc>
          <w:tcPr>
            <w:tcW w:w="1739" w:type="dxa"/>
            <w:vAlign w:val="center"/>
          </w:tcPr>
          <w:p w:rsidR="00401792" w:rsidRDefault="0051377C">
            <w:pPr>
              <w:jc w:val="center"/>
            </w:pPr>
            <w:r>
              <w:t>Ед.</w:t>
            </w:r>
          </w:p>
        </w:tc>
        <w:tc>
          <w:tcPr>
            <w:tcW w:w="1755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55" w:type="dxa"/>
          </w:tcPr>
          <w:p w:rsidR="00401792" w:rsidRDefault="0051377C">
            <w:r>
              <w:t>Количество кластеров образовательных организаций для непосредственного участия в проведении диагностических процедур: список школ, перечень классов, кандидатуры педагогов.</w:t>
            </w:r>
          </w:p>
          <w:p w:rsidR="00401792" w:rsidRDefault="00401792"/>
        </w:tc>
        <w:tc>
          <w:tcPr>
            <w:tcW w:w="1739" w:type="dxa"/>
            <w:vAlign w:val="center"/>
          </w:tcPr>
          <w:p w:rsidR="00401792" w:rsidRDefault="0051377C">
            <w:pPr>
              <w:jc w:val="center"/>
            </w:pPr>
            <w:r>
              <w:t>Ед.</w:t>
            </w:r>
          </w:p>
        </w:tc>
        <w:tc>
          <w:tcPr>
            <w:tcW w:w="1755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55" w:type="dxa"/>
          </w:tcPr>
          <w:p w:rsidR="00401792" w:rsidRDefault="0051377C">
            <w:r>
              <w:t>Количество обучающих семинаров (вебинаров) для учителей начальной школы</w:t>
            </w:r>
            <w:r>
              <w:t>, непосредственно участвующих в проведении диагностики, и школьных координаторов.</w:t>
            </w:r>
          </w:p>
        </w:tc>
        <w:tc>
          <w:tcPr>
            <w:tcW w:w="1739" w:type="dxa"/>
            <w:vAlign w:val="center"/>
          </w:tcPr>
          <w:p w:rsidR="00401792" w:rsidRDefault="0051377C">
            <w:pPr>
              <w:jc w:val="center"/>
            </w:pPr>
            <w:r>
              <w:t>Ед.</w:t>
            </w:r>
          </w:p>
        </w:tc>
        <w:tc>
          <w:tcPr>
            <w:tcW w:w="1755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55" w:type="dxa"/>
          </w:tcPr>
          <w:p w:rsidR="00401792" w:rsidRDefault="0051377C">
            <w:r>
              <w:t xml:space="preserve">Количество участников  обучающих семинаров </w:t>
            </w:r>
            <w:r>
              <w:lastRenderedPageBreak/>
              <w:t>(вебинаров</w:t>
            </w:r>
            <w:r>
              <w:t>) для учителей начальной школы, непосредственно участвующих в проведении диагностики, и школьных координаторов.</w:t>
            </w:r>
          </w:p>
        </w:tc>
        <w:tc>
          <w:tcPr>
            <w:tcW w:w="1739" w:type="dxa"/>
            <w:vAlign w:val="center"/>
          </w:tcPr>
          <w:p w:rsidR="00401792" w:rsidRDefault="0051377C">
            <w:pPr>
              <w:jc w:val="center"/>
            </w:pPr>
            <w:r>
              <w:lastRenderedPageBreak/>
              <w:t>Чел.</w:t>
            </w:r>
          </w:p>
        </w:tc>
        <w:tc>
          <w:tcPr>
            <w:tcW w:w="1755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55" w:type="dxa"/>
          </w:tcPr>
          <w:p w:rsidR="00401792" w:rsidRDefault="005137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общеобразовательных организаций, участвующих в диагностике</w:t>
            </w:r>
          </w:p>
        </w:tc>
        <w:tc>
          <w:tcPr>
            <w:tcW w:w="1739" w:type="dxa"/>
            <w:vAlign w:val="center"/>
          </w:tcPr>
          <w:p w:rsidR="00401792" w:rsidRDefault="0051377C">
            <w:pPr>
              <w:jc w:val="center"/>
            </w:pPr>
            <w:r>
              <w:t>Ед.</w:t>
            </w:r>
          </w:p>
        </w:tc>
        <w:tc>
          <w:tcPr>
            <w:tcW w:w="1755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4"/>
            <w:shd w:val="clear" w:color="auto" w:fill="BFBFBF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ЭТАП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55" w:type="dxa"/>
          </w:tcPr>
          <w:p w:rsidR="00401792" w:rsidRDefault="0051377C">
            <w:r>
              <w:rPr>
                <w:rFonts w:ascii="Calibri" w:eastAsia="Calibri" w:hAnsi="Calibri" w:cs="Calibri"/>
              </w:rPr>
              <w:t xml:space="preserve">Количество </w:t>
            </w:r>
            <w:r>
              <w:rPr>
                <w:rFonts w:ascii="Calibri" w:eastAsia="Calibri" w:hAnsi="Calibri" w:cs="Calibri"/>
              </w:rPr>
              <w:t>личных кабинетов (регионального координатора – не менее 1, координаторов – не менее 25, учителей – не менее 50, обучающихся – не менее 1000, родителей – не менее 1000) на самостоятельной цифровой платформе для проведения и мониторинга диагностических проце</w:t>
            </w:r>
            <w:r>
              <w:rPr>
                <w:rFonts w:ascii="Calibri" w:eastAsia="Calibri" w:hAnsi="Calibri" w:cs="Calibri"/>
              </w:rPr>
              <w:t>дур для каждой школы (кластер / школа координатор / класс / учитель / ученик / родитель)</w:t>
            </w:r>
          </w:p>
        </w:tc>
        <w:tc>
          <w:tcPr>
            <w:tcW w:w="1739" w:type="dxa"/>
            <w:vAlign w:val="center"/>
          </w:tcPr>
          <w:p w:rsidR="00401792" w:rsidRDefault="0051377C">
            <w:pPr>
              <w:jc w:val="center"/>
            </w:pPr>
            <w:r>
              <w:t>Ед.</w:t>
            </w:r>
          </w:p>
        </w:tc>
        <w:tc>
          <w:tcPr>
            <w:tcW w:w="1755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2076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55" w:type="dxa"/>
          </w:tcPr>
          <w:p w:rsidR="00401792" w:rsidRDefault="0051377C">
            <w:r>
              <w:t>Предоставление доступа к не менее чем 20 метапредметным</w:t>
            </w:r>
            <w:r>
              <w:t xml:space="preserve"> диагностическим заданиям (250 элементарных учебных действий), нацеленным на выявление у обучающихся дефицитов учебно-информационных умений, в личных кабинетах обучающихся для их выполнения </w:t>
            </w:r>
          </w:p>
        </w:tc>
        <w:tc>
          <w:tcPr>
            <w:tcW w:w="1739" w:type="dxa"/>
            <w:vAlign w:val="center"/>
          </w:tcPr>
          <w:p w:rsidR="00401792" w:rsidRDefault="0051377C">
            <w:pPr>
              <w:jc w:val="center"/>
            </w:pPr>
            <w:r>
              <w:t xml:space="preserve">Ед. </w:t>
            </w:r>
          </w:p>
        </w:tc>
        <w:tc>
          <w:tcPr>
            <w:tcW w:w="1755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55" w:type="dxa"/>
          </w:tcPr>
          <w:p w:rsidR="00401792" w:rsidRDefault="0051377C">
            <w:r>
              <w:t>Количество участников регулярных учебных з</w:t>
            </w:r>
            <w:r>
              <w:t xml:space="preserve">анятий с использованием цифровой платформы (адаптированной с учетом специфики начальной школы), обеспечивающей фиксацию всех учебных действий обучающихся </w:t>
            </w:r>
          </w:p>
        </w:tc>
        <w:tc>
          <w:tcPr>
            <w:tcW w:w="1739" w:type="dxa"/>
            <w:vAlign w:val="center"/>
          </w:tcPr>
          <w:p w:rsidR="00401792" w:rsidRDefault="0051377C">
            <w:pPr>
              <w:jc w:val="center"/>
            </w:pPr>
            <w:r>
              <w:t xml:space="preserve">Чел. </w:t>
            </w:r>
          </w:p>
        </w:tc>
        <w:tc>
          <w:tcPr>
            <w:tcW w:w="1755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55" w:type="dxa"/>
          </w:tcPr>
          <w:p w:rsidR="00401792" w:rsidRDefault="005137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мониторинга текущих результатов обучающихся в процессе проведения диагно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стических процедур, консультационная поддержка со стороны организации-исполнителя</w:t>
            </w:r>
          </w:p>
        </w:tc>
        <w:tc>
          <w:tcPr>
            <w:tcW w:w="1739" w:type="dxa"/>
            <w:vAlign w:val="center"/>
          </w:tcPr>
          <w:p w:rsidR="00401792" w:rsidRDefault="0051377C">
            <w:pPr>
              <w:jc w:val="center"/>
            </w:pPr>
            <w:r>
              <w:t>Ед.</w:t>
            </w:r>
          </w:p>
        </w:tc>
        <w:tc>
          <w:tcPr>
            <w:tcW w:w="1755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1076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4"/>
            <w:shd w:val="clear" w:color="auto" w:fill="BFBFBF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ЭТАП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55" w:type="dxa"/>
          </w:tcPr>
          <w:p w:rsidR="00401792" w:rsidRDefault="0051377C">
            <w:r>
              <w:t xml:space="preserve">Количество индивидуальных аналитических отчетов по каждому обучающемуся, выполнявшему задания диагностики (не менее 4 параметров, отражающих способность извлечения информации из учебных ресурсов разных типов, не менее 4 параметров, отражающих корректность </w:t>
            </w:r>
            <w:r>
              <w:t>действий с учебной информацией).</w:t>
            </w:r>
          </w:p>
        </w:tc>
        <w:tc>
          <w:tcPr>
            <w:tcW w:w="1739" w:type="dxa"/>
            <w:vAlign w:val="center"/>
          </w:tcPr>
          <w:p w:rsidR="00401792" w:rsidRDefault="0051377C">
            <w:pPr>
              <w:jc w:val="center"/>
            </w:pPr>
            <w:r>
              <w:t>Ед.</w:t>
            </w:r>
          </w:p>
        </w:tc>
        <w:tc>
          <w:tcPr>
            <w:tcW w:w="1755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1000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55" w:type="dxa"/>
          </w:tcPr>
          <w:p w:rsidR="00401792" w:rsidRDefault="0051377C">
            <w:r>
              <w:t>Количество групповых аналитических отчетов (на основе индивидуальных результатов обучающихся) с обозначением возможных групповых дефицитов по каждому классу и школе в целом.</w:t>
            </w:r>
          </w:p>
        </w:tc>
        <w:tc>
          <w:tcPr>
            <w:tcW w:w="1739" w:type="dxa"/>
            <w:vAlign w:val="center"/>
          </w:tcPr>
          <w:p w:rsidR="00401792" w:rsidRDefault="0051377C">
            <w:pPr>
              <w:jc w:val="center"/>
            </w:pPr>
            <w:r>
              <w:t>Ед.</w:t>
            </w:r>
          </w:p>
        </w:tc>
        <w:tc>
          <w:tcPr>
            <w:tcW w:w="1755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55" w:type="dxa"/>
          </w:tcPr>
          <w:p w:rsidR="00401792" w:rsidRDefault="0051377C">
            <w:r>
              <w:t xml:space="preserve">Количество общих аналитических отчетов по </w:t>
            </w:r>
            <w:r>
              <w:lastRenderedPageBreak/>
              <w:t xml:space="preserve">проведенным диагностическим процедурам </w:t>
            </w:r>
          </w:p>
          <w:p w:rsidR="00401792" w:rsidRDefault="00401792"/>
        </w:tc>
        <w:tc>
          <w:tcPr>
            <w:tcW w:w="1739" w:type="dxa"/>
            <w:vAlign w:val="center"/>
          </w:tcPr>
          <w:p w:rsidR="00401792" w:rsidRDefault="0051377C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1755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792">
        <w:tblPrEx>
          <w:tblCellMar>
            <w:top w:w="0" w:type="dxa"/>
            <w:bottom w:w="0" w:type="dxa"/>
          </w:tblCellMar>
        </w:tblPrEx>
        <w:tc>
          <w:tcPr>
            <w:tcW w:w="696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155" w:type="dxa"/>
          </w:tcPr>
          <w:p w:rsidR="00401792" w:rsidRDefault="0051377C">
            <w:r>
              <w:t>Количество заключительных семинаров (вебинаров) по результатам диагностики.</w:t>
            </w:r>
          </w:p>
        </w:tc>
        <w:tc>
          <w:tcPr>
            <w:tcW w:w="1739" w:type="dxa"/>
            <w:vAlign w:val="center"/>
          </w:tcPr>
          <w:p w:rsidR="00401792" w:rsidRDefault="0051377C">
            <w:pPr>
              <w:jc w:val="center"/>
            </w:pPr>
            <w:r>
              <w:t>Ед.</w:t>
            </w:r>
          </w:p>
        </w:tc>
        <w:tc>
          <w:tcPr>
            <w:tcW w:w="1755" w:type="dxa"/>
            <w:vAlign w:val="center"/>
          </w:tcPr>
          <w:p w:rsidR="00401792" w:rsidRDefault="005137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1792" w:rsidRDefault="00401792"/>
    <w:p w:rsidR="00401792" w:rsidRDefault="00401792"/>
    <w:p w:rsidR="00401792" w:rsidRDefault="00401792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680"/>
      </w:tblGrid>
      <w:tr w:rsidR="00401792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786" w:type="dxa"/>
          </w:tcPr>
          <w:p w:rsidR="00401792" w:rsidRDefault="0051377C">
            <w:pPr>
              <w:spacing w:after="0"/>
              <w:ind w:left="-2192"/>
            </w:pPr>
            <w:r>
              <w:rPr>
                <w:b/>
                <w:bCs/>
                <w:sz w:val="24"/>
                <w:szCs w:val="24"/>
              </w:rPr>
              <w:t>Заказчик: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b/>
                <w:bCs/>
                <w:sz w:val="24"/>
                <w:szCs w:val="24"/>
              </w:rPr>
              <w:t>ГАОУ ДПО «ЛОИРО»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Юридический/фактический адрес: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197136 г. Санкт-Петербург, пр. Чкаловский, д. 25а, лит. А.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ИНН 4705016800, КПП 781301001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ОКВЭД 85.42,      ОГРН - 1024701243390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b/>
                <w:bCs/>
              </w:rPr>
              <w:t>Реквизиты банковские:</w:t>
            </w:r>
          </w:p>
          <w:p w:rsidR="00401792" w:rsidRDefault="0051377C"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КОМИТЕТ ФИНАНСОВ ЛЕНИНГРАДСКОЙ ОБЛАСТИ </w:t>
            </w:r>
          </w:p>
          <w:p w:rsidR="00401792" w:rsidRDefault="0051377C"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(ГАОУ ДПО "ЛОИРО" л/с 31723068049)</w:t>
            </w:r>
          </w:p>
          <w:p w:rsidR="00401792" w:rsidRDefault="0051377C">
            <w:r>
              <w:rPr>
                <w:sz w:val="23"/>
                <w:szCs w:val="23"/>
              </w:rPr>
              <w:t>Казначейский счет 03224643410000004500</w:t>
            </w:r>
          </w:p>
          <w:p w:rsidR="00401792" w:rsidRDefault="0051377C">
            <w:r>
              <w:rPr>
                <w:sz w:val="23"/>
                <w:szCs w:val="23"/>
              </w:rPr>
              <w:t>БИК ТОФК 014106101</w:t>
            </w:r>
          </w:p>
          <w:p w:rsidR="00401792" w:rsidRDefault="0051377C">
            <w:r>
              <w:rPr>
                <w:sz w:val="23"/>
                <w:szCs w:val="23"/>
              </w:rPr>
              <w:t>Банк:</w:t>
            </w:r>
          </w:p>
          <w:p w:rsidR="00401792" w:rsidRDefault="0051377C">
            <w:r>
              <w:rPr>
                <w:sz w:val="23"/>
                <w:szCs w:val="23"/>
              </w:rPr>
              <w:t>ОТДЕЛЕНИЕ ЛЕНИНГРАДСКОЕ БАНКА РОССИИ//УФК по Ленинградской области, г. Санкт-Петербург</w:t>
            </w:r>
          </w:p>
          <w:p w:rsidR="00401792" w:rsidRDefault="0051377C">
            <w:r>
              <w:rPr>
                <w:sz w:val="23"/>
                <w:szCs w:val="23"/>
              </w:rPr>
              <w:t>Единый казначейский счет 40102810745370000006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Тел. 372-50-39, факс 372-53-92</w:t>
            </w:r>
          </w:p>
          <w:p w:rsidR="00401792" w:rsidRDefault="0051377C">
            <w:pPr>
              <w:spacing w:after="0"/>
              <w:ind w:left="-752"/>
            </w:pPr>
            <w:r>
              <w:rPr>
                <w:sz w:val="24"/>
                <w:szCs w:val="24"/>
              </w:rPr>
              <w:t xml:space="preserve"> Ректор</w:t>
            </w:r>
          </w:p>
          <w:p w:rsidR="00401792" w:rsidRDefault="0051377C">
            <w:pPr>
              <w:spacing w:after="0"/>
              <w:ind w:left="-752"/>
            </w:pPr>
            <w:r>
              <w:rPr>
                <w:sz w:val="24"/>
                <w:szCs w:val="24"/>
              </w:rPr>
              <w:t>______________ Ковал</w:t>
            </w:r>
            <w:r>
              <w:rPr>
                <w:sz w:val="24"/>
                <w:szCs w:val="24"/>
              </w:rPr>
              <w:t>ьчук О.В.</w:t>
            </w:r>
          </w:p>
          <w:p w:rsidR="00401792" w:rsidRDefault="0051377C">
            <w:pPr>
              <w:spacing w:after="0"/>
              <w:ind w:left="-752"/>
            </w:pPr>
            <w:r>
              <w:rPr>
                <w:sz w:val="24"/>
                <w:szCs w:val="24"/>
              </w:rPr>
              <w:t>мп.</w:t>
            </w:r>
          </w:p>
        </w:tc>
        <w:tc>
          <w:tcPr>
            <w:tcW w:w="4680" w:type="dxa"/>
          </w:tcPr>
          <w:p w:rsidR="00401792" w:rsidRDefault="0051377C">
            <w:pPr>
              <w:spacing w:after="0"/>
              <w:ind w:left="-2192"/>
            </w:pPr>
            <w:r>
              <w:rPr>
                <w:b/>
                <w:bCs/>
                <w:sz w:val="24"/>
                <w:szCs w:val="24"/>
              </w:rPr>
              <w:t>Исполнитель: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b/>
                <w:bCs/>
                <w:sz w:val="24"/>
                <w:szCs w:val="24"/>
              </w:rPr>
              <w:t>ООО «Студия «Март»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Юридический/фактический адрес: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192029 г. Санкт-Петербург, пр. Ткачей, д. 3, кв. 26.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ИНН 7811469396, КПП 781101001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ОКВЭД 62.09, 62.01, 62.02,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ОГРН – 1107847239830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b/>
                <w:bCs/>
              </w:rPr>
              <w:t>Реквизиты банковские: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р/с 40702810055040016713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в Северо-Западный банк ПАО Сбербанк,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г. Санкт-Петербург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к/с 30101810500000000653</w:t>
            </w:r>
          </w:p>
          <w:p w:rsidR="00401792" w:rsidRDefault="0051377C">
            <w:pPr>
              <w:spacing w:after="0"/>
              <w:ind w:left="-2192"/>
            </w:pPr>
            <w:r>
              <w:rPr>
                <w:sz w:val="24"/>
                <w:szCs w:val="24"/>
              </w:rPr>
              <w:t>Тел. 942-46-55</w:t>
            </w:r>
          </w:p>
          <w:p w:rsidR="00401792" w:rsidRDefault="00401792"/>
          <w:p w:rsidR="00401792" w:rsidRDefault="00401792"/>
          <w:p w:rsidR="00401792" w:rsidRDefault="00401792"/>
          <w:p w:rsidR="00401792" w:rsidRDefault="00401792"/>
          <w:p w:rsidR="00401792" w:rsidRDefault="0051377C">
            <w:pPr>
              <w:spacing w:after="0"/>
              <w:ind w:left="-752"/>
            </w:pPr>
            <w:r>
              <w:rPr>
                <w:sz w:val="24"/>
                <w:szCs w:val="24"/>
              </w:rPr>
              <w:t>Директор</w:t>
            </w:r>
          </w:p>
          <w:p w:rsidR="00401792" w:rsidRDefault="0051377C">
            <w:pPr>
              <w:spacing w:after="0"/>
              <w:ind w:left="-752"/>
            </w:pPr>
            <w:r>
              <w:rPr>
                <w:sz w:val="24"/>
                <w:szCs w:val="24"/>
              </w:rPr>
              <w:t>______________ Кондратьева И.Н.</w:t>
            </w:r>
          </w:p>
          <w:p w:rsidR="00401792" w:rsidRDefault="0051377C">
            <w:pPr>
              <w:spacing w:after="0"/>
            </w:pPr>
            <w:r>
              <w:rPr>
                <w:sz w:val="24"/>
                <w:szCs w:val="24"/>
              </w:rPr>
              <w:t>мп.</w:t>
            </w:r>
          </w:p>
        </w:tc>
      </w:tr>
    </w:tbl>
    <w:p w:rsidR="00401792" w:rsidRDefault="00401792"/>
    <w:sectPr w:rsidR="00401792">
      <w:headerReference w:type="default" r:id="rId7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7C" w:rsidRDefault="0051377C">
      <w:pPr>
        <w:spacing w:after="0" w:line="240" w:lineRule="auto"/>
      </w:pPr>
      <w:r>
        <w:separator/>
      </w:r>
    </w:p>
  </w:endnote>
  <w:endnote w:type="continuationSeparator" w:id="0">
    <w:p w:rsidR="0051377C" w:rsidRDefault="0051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7C" w:rsidRDefault="0051377C">
      <w:pPr>
        <w:spacing w:after="0" w:line="240" w:lineRule="auto"/>
      </w:pPr>
      <w:r>
        <w:separator/>
      </w:r>
    </w:p>
  </w:footnote>
  <w:footnote w:type="continuationSeparator" w:id="0">
    <w:p w:rsidR="0051377C" w:rsidRDefault="0051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92" w:rsidRDefault="0051377C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00pt;height:89.95pt;z-index:251657728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498BF6"/>
    <w:multiLevelType w:val="hybridMultilevel"/>
    <w:tmpl w:val="10B670B6"/>
    <w:lvl w:ilvl="0" w:tplc="7B90B8F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7C486A44">
      <w:start w:val="1"/>
      <w:numFmt w:val="none"/>
      <w:lvlText w:val=""/>
      <w:lvlJc w:val="left"/>
      <w:pPr>
        <w:tabs>
          <w:tab w:val="num" w:pos="0"/>
        </w:tabs>
      </w:pPr>
    </w:lvl>
    <w:lvl w:ilvl="2" w:tplc="3828B6E8">
      <w:start w:val="1"/>
      <w:numFmt w:val="none"/>
      <w:lvlText w:val=""/>
      <w:lvlJc w:val="left"/>
      <w:pPr>
        <w:tabs>
          <w:tab w:val="num" w:pos="0"/>
        </w:tabs>
      </w:pPr>
    </w:lvl>
    <w:lvl w:ilvl="3" w:tplc="89B8E09C">
      <w:start w:val="1"/>
      <w:numFmt w:val="none"/>
      <w:lvlText w:val=""/>
      <w:lvlJc w:val="left"/>
      <w:pPr>
        <w:tabs>
          <w:tab w:val="num" w:pos="0"/>
        </w:tabs>
      </w:pPr>
    </w:lvl>
    <w:lvl w:ilvl="4" w:tplc="55D66982">
      <w:start w:val="1"/>
      <w:numFmt w:val="none"/>
      <w:lvlText w:val=""/>
      <w:lvlJc w:val="left"/>
      <w:pPr>
        <w:tabs>
          <w:tab w:val="num" w:pos="0"/>
        </w:tabs>
      </w:pPr>
    </w:lvl>
    <w:lvl w:ilvl="5" w:tplc="FC7CC5B4">
      <w:start w:val="1"/>
      <w:numFmt w:val="none"/>
      <w:lvlText w:val=""/>
      <w:lvlJc w:val="left"/>
      <w:pPr>
        <w:tabs>
          <w:tab w:val="num" w:pos="0"/>
        </w:tabs>
      </w:pPr>
    </w:lvl>
    <w:lvl w:ilvl="6" w:tplc="45F40206">
      <w:start w:val="1"/>
      <w:numFmt w:val="none"/>
      <w:lvlText w:val=""/>
      <w:lvlJc w:val="left"/>
      <w:pPr>
        <w:tabs>
          <w:tab w:val="num" w:pos="0"/>
        </w:tabs>
      </w:pPr>
    </w:lvl>
    <w:lvl w:ilvl="7" w:tplc="FB6279B2">
      <w:start w:val="1"/>
      <w:numFmt w:val="none"/>
      <w:lvlText w:val=""/>
      <w:lvlJc w:val="left"/>
      <w:pPr>
        <w:tabs>
          <w:tab w:val="num" w:pos="0"/>
        </w:tabs>
      </w:pPr>
    </w:lvl>
    <w:lvl w:ilvl="8" w:tplc="3E80267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928D7DF1"/>
    <w:multiLevelType w:val="multilevel"/>
    <w:tmpl w:val="C26C428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hint="default"/>
      </w:rPr>
    </w:lvl>
  </w:abstractNum>
  <w:abstractNum w:abstractNumId="2" w15:restartNumberingAfterBreak="0">
    <w:nsid w:val="9F5839B6"/>
    <w:multiLevelType w:val="multilevel"/>
    <w:tmpl w:val="20C8FB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3" w15:restartNumberingAfterBreak="0">
    <w:nsid w:val="F49B38BE"/>
    <w:multiLevelType w:val="hybridMultilevel"/>
    <w:tmpl w:val="1974EB1C"/>
    <w:lvl w:ilvl="0" w:tplc="1004E802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D32230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98AC95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32A0A6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D6E744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7AC7A9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E5A508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5FAF57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79284C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3E63387"/>
    <w:multiLevelType w:val="hybridMultilevel"/>
    <w:tmpl w:val="BFF6EB30"/>
    <w:lvl w:ilvl="0" w:tplc="2C2AA06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AEBCF26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2EF8387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44E2FA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7262E3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198380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CC66ECF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3B6C83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15E99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05D0210"/>
    <w:multiLevelType w:val="multilevel"/>
    <w:tmpl w:val="ECDA1C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353DD027"/>
    <w:multiLevelType w:val="multilevel"/>
    <w:tmpl w:val="33AE1E4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7" w15:restartNumberingAfterBreak="0">
    <w:nsid w:val="36A0432D"/>
    <w:multiLevelType w:val="hybridMultilevel"/>
    <w:tmpl w:val="5DE8FECE"/>
    <w:lvl w:ilvl="0" w:tplc="C67634AC">
      <w:start w:val="1"/>
      <w:numFmt w:val="bullet"/>
      <w:lvlText w:val=""/>
      <w:lvlJc w:val="left"/>
      <w:pPr>
        <w:tabs>
          <w:tab w:val="num" w:pos="0"/>
        </w:tabs>
        <w:ind w:left="2629" w:hanging="360"/>
      </w:pPr>
      <w:rPr>
        <w:rFonts w:ascii="Wingdings" w:hAnsi="Wingdings" w:cs="Wingdings" w:hint="default"/>
      </w:rPr>
    </w:lvl>
    <w:lvl w:ilvl="1" w:tplc="3A1CB7C2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 w:tplc="1DAC98FE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 w:tplc="C15CA182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 w:tplc="A630F0EE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 w:tplc="7E642870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 w:tplc="B6101E44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 w:tplc="9830FFFA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 w:tplc="D188F86A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6B86F5"/>
    <w:multiLevelType w:val="multilevel"/>
    <w:tmpl w:val="ACCC910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9" w15:restartNumberingAfterBreak="0">
    <w:nsid w:val="65ADD66F"/>
    <w:multiLevelType w:val="multilevel"/>
    <w:tmpl w:val="5FB0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792"/>
    <w:rsid w:val="000800E5"/>
    <w:rsid w:val="00401792"/>
    <w:rsid w:val="0051377C"/>
    <w:rsid w:val="005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20C435"/>
  <w15:docId w15:val="{BB954D20-1BA0-4012-9E85-E4085A6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keepNext/>
      <w:keepLines/>
      <w:spacing w:before="480"/>
      <w:outlineLvl w:val="0"/>
    </w:pPr>
    <w:rPr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10">
    <w:name w:val="Обычная таблица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rPr>
      <w:b/>
      <w:bCs/>
      <w:color w:val="2E74B5"/>
      <w:sz w:val="28"/>
      <w:szCs w:val="28"/>
    </w:rPr>
  </w:style>
  <w:style w:type="paragraph" w:styleId="a4">
    <w:name w:val="List Paragraph"/>
    <w:basedOn w:val="a"/>
    <w:pPr>
      <w:spacing w:after="200"/>
      <w:ind w:left="-5888"/>
      <w:contextualSpacing/>
    </w:pPr>
  </w:style>
  <w:style w:type="character" w:customStyle="1" w:styleId="12">
    <w:name w:val="Без интервала1"/>
    <w:rPr>
      <w:rFonts w:ascii="Calibri" w:eastAsia="Calibri" w:hAnsi="Calibri" w:cs="Calibri"/>
      <w:sz w:val="22"/>
      <w:szCs w:val="22"/>
    </w:rPr>
  </w:style>
  <w:style w:type="character" w:customStyle="1" w:styleId="a5">
    <w:name w:val="Без интервала Знак"/>
    <w:rPr>
      <w:rFonts w:ascii="Calibri" w:eastAsia="Calibri" w:hAnsi="Calibri" w:cs="Calibri"/>
    </w:rPr>
  </w:style>
  <w:style w:type="paragraph" w:styleId="a6">
    <w:name w:val="Body Text"/>
    <w:basedOn w:val="a"/>
    <w:pPr>
      <w:spacing w:after="120"/>
      <w:jc w:val="both"/>
    </w:pPr>
    <w:rPr>
      <w:sz w:val="28"/>
      <w:szCs w:val="28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pPr>
      <w:spacing w:after="120"/>
      <w:ind w:left="7152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pPr>
      <w:jc w:val="center"/>
    </w:pPr>
    <w:rPr>
      <w:b/>
      <w:bCs/>
    </w:rPr>
  </w:style>
  <w:style w:type="character" w:customStyle="1" w:styleId="a9">
    <w:name w:val="Название Знак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 (веб)1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5007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2</cp:revision>
  <dcterms:created xsi:type="dcterms:W3CDTF">2023-04-24T13:27:00Z</dcterms:created>
  <dcterms:modified xsi:type="dcterms:W3CDTF">2023-05-02T11:02:00Z</dcterms:modified>
  <cp:category/>
</cp:coreProperties>
</file>