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B3" w:rsidRPr="006A7AB3" w:rsidRDefault="006A7AB3" w:rsidP="006A7AB3">
      <w:pPr>
        <w:spacing w:after="0"/>
        <w:ind w:firstLine="708"/>
        <w:contextualSpacing/>
        <w:jc w:val="center"/>
        <w:rPr>
          <w:rFonts w:ascii="Times New Roman" w:eastAsia="Calibri" w:hAnsi="Times New Roman" w:cs="Times New Roman"/>
          <w:b/>
          <w:sz w:val="28"/>
          <w:szCs w:val="28"/>
        </w:rPr>
      </w:pPr>
      <w:bookmarkStart w:id="0" w:name="_GoBack"/>
      <w:bookmarkEnd w:id="0"/>
      <w:r w:rsidRPr="006A7AB3">
        <w:rPr>
          <w:rFonts w:ascii="Times New Roman" w:eastAsia="Calibri" w:hAnsi="Times New Roman" w:cs="Times New Roman"/>
          <w:b/>
          <w:sz w:val="28"/>
          <w:szCs w:val="28"/>
        </w:rPr>
        <w:t>Аналитический отчет о результатах мониторинга «Эффективность процесса воспитания»</w:t>
      </w:r>
    </w:p>
    <w:p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 xml:space="preserve">В современной образовательной ситуации воспитанию и социализации обучающихся уделяется повышенное внимание. В рамках реализации федеральных государственных образовательных стандартов предусмотрено достижение каждым школьником, наряду </w:t>
      </w:r>
      <w:r w:rsidRPr="006A7AB3">
        <w:rPr>
          <w:rFonts w:ascii="Times New Roman" w:hAnsi="Times New Roman" w:cs="Times New Roman"/>
          <w:sz w:val="28"/>
          <w:szCs w:val="28"/>
          <w:lang w:val="en-US"/>
        </w:rPr>
        <w:t>c</w:t>
      </w:r>
      <w:r w:rsidRPr="006A7AB3">
        <w:rPr>
          <w:rFonts w:ascii="Times New Roman" w:hAnsi="Times New Roman" w:cs="Times New Roman"/>
          <w:sz w:val="28"/>
          <w:szCs w:val="28"/>
        </w:rPr>
        <w:t xml:space="preserve"> предметными и метапредметными,  личностных результатов. Личностные результаты рассматриваются как основная цель современного образования, на реализацию которой ориентированы все общеобразовательные программы на разных уровнях общего образования. В этой связи особый интерес представляет получение ответов на вопросы о способах обеспечения личностных результатов в условиях организации эффективного воспитательного процесса в каждой образовательной организации. Дать ответы на эти вопросы призван региональный мониторинг эффективности воспитательного процесса, предусмотренный в рамках государственной программы «Современное образование Ленинградской области» в 2018 году.</w:t>
      </w:r>
    </w:p>
    <w:p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Идеология и технология проведения мониторинга основывались на понимании эффективности воспитательного процесса в условиях развития образовательных организаций как воспитательных систем. В этой связи целью</w:t>
      </w:r>
      <w:r w:rsidRPr="006A7AB3">
        <w:rPr>
          <w:rFonts w:ascii="Times New Roman" w:hAnsi="Times New Roman" w:cs="Times New Roman"/>
          <w:b/>
          <w:sz w:val="28"/>
          <w:szCs w:val="28"/>
        </w:rPr>
        <w:t xml:space="preserve"> </w:t>
      </w:r>
      <w:r w:rsidRPr="006A7AB3">
        <w:rPr>
          <w:rFonts w:ascii="Times New Roman" w:hAnsi="Times New Roman" w:cs="Times New Roman"/>
          <w:sz w:val="28"/>
          <w:szCs w:val="28"/>
        </w:rPr>
        <w:t xml:space="preserve">мониторинга являлось определение эффективности воспитательной системы (далее – ВС) образовательной организации как главного условия достижения целей воспитания обучающихся. </w:t>
      </w:r>
    </w:p>
    <w:p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Участниками мониторингового исследования стали руководители общеобразовательных организаций муниципальных районов Ленинградской области.</w:t>
      </w:r>
    </w:p>
    <w:p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Выборка предполагала получить от каждого района данные по трем общеобразовательным организациям, размещенным в городской, сельской местности и поселке городского типа.</w:t>
      </w:r>
    </w:p>
    <w:p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Основным методом мониторинга было избрано анкетирование руководителей общеобразовательных организаций</w:t>
      </w:r>
    </w:p>
    <w:p w:rsidR="006A7AB3" w:rsidRPr="006A7AB3" w:rsidRDefault="006A7AB3" w:rsidP="006A7AB3">
      <w:pPr>
        <w:spacing w:after="0"/>
        <w:ind w:firstLine="709"/>
        <w:jc w:val="both"/>
        <w:rPr>
          <w:rFonts w:ascii="Times New Roman" w:hAnsi="Times New Roman" w:cs="Times New Roman"/>
          <w:sz w:val="28"/>
          <w:szCs w:val="28"/>
        </w:rPr>
      </w:pPr>
      <w:r w:rsidRPr="006A7AB3">
        <w:rPr>
          <w:rFonts w:ascii="Times New Roman" w:hAnsi="Times New Roman" w:cs="Times New Roman"/>
          <w:sz w:val="28"/>
          <w:szCs w:val="28"/>
        </w:rPr>
        <w:t>Мониторинг осуществлялся руководителями образовательных организаций как самоанализ состояния воспитательной системы, которая представляет собой к</w:t>
      </w:r>
      <w:r w:rsidRPr="006A7AB3">
        <w:rPr>
          <w:rFonts w:ascii="Times New Roman" w:hAnsi="Times New Roman" w:cs="Times New Roman"/>
          <w:bCs/>
          <w:sz w:val="28"/>
          <w:szCs w:val="28"/>
        </w:rPr>
        <w:t>онцептуально выстроенную организационную структуру взаимодействия всех элементов образовательной организации, где все связи внутреннего и внешнего подкрепления обусловлены ценностно-смысловым единством субъектов образовательного процесса</w:t>
      </w:r>
      <w:r w:rsidRPr="006A7AB3">
        <w:rPr>
          <w:rFonts w:ascii="Times New Roman" w:hAnsi="Times New Roman" w:cs="Times New Roman"/>
          <w:sz w:val="28"/>
          <w:szCs w:val="28"/>
        </w:rPr>
        <w:t xml:space="preserve">. </w:t>
      </w:r>
    </w:p>
    <w:p w:rsidR="006A7AB3" w:rsidRPr="006A7AB3" w:rsidRDefault="006A7AB3" w:rsidP="006A7AB3">
      <w:pPr>
        <w:spacing w:after="0"/>
        <w:ind w:firstLine="709"/>
        <w:jc w:val="both"/>
        <w:rPr>
          <w:rFonts w:ascii="Times New Roman" w:hAnsi="Times New Roman" w:cs="Times New Roman"/>
          <w:sz w:val="28"/>
          <w:szCs w:val="28"/>
        </w:rPr>
      </w:pPr>
      <w:r w:rsidRPr="006A7AB3">
        <w:rPr>
          <w:rFonts w:ascii="Times New Roman" w:hAnsi="Times New Roman" w:cs="Times New Roman"/>
          <w:sz w:val="28"/>
          <w:szCs w:val="28"/>
        </w:rPr>
        <w:t xml:space="preserve">Мониторинг предполагал получить системную многоуровневую информацию, опираясь на которую можно совершенствовать процессы </w:t>
      </w:r>
      <w:r w:rsidRPr="006A7AB3">
        <w:rPr>
          <w:rFonts w:ascii="Times New Roman" w:hAnsi="Times New Roman" w:cs="Times New Roman"/>
          <w:sz w:val="28"/>
          <w:szCs w:val="28"/>
        </w:rPr>
        <w:lastRenderedPageBreak/>
        <w:t>становления, функционирования и развития воспитательной системы, в условиях которой возможно достижение личностных результатов.</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eastAsia="Calibri" w:hAnsi="Times New Roman" w:cs="Times New Roman"/>
          <w:sz w:val="28"/>
          <w:szCs w:val="28"/>
        </w:rPr>
        <w:t xml:space="preserve">Вопросы систематизировались в соответствии с базовыми компонентами воспитательной системы. </w:t>
      </w:r>
      <w:r w:rsidRPr="006A7AB3">
        <w:rPr>
          <w:rFonts w:ascii="Times New Roman" w:hAnsi="Times New Roman" w:cs="Times New Roman"/>
          <w:sz w:val="28"/>
          <w:szCs w:val="28"/>
        </w:rPr>
        <w:t>Данные компоненты обоснованы группой учёных РАО (Л. И. Новикова, В. А. Караковский, С. Д. Поляков, Н. А. Селиванова и др.), они являются базовыми для любой воспитательной системы. К базовым компонентам относятся:</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1) ценностные ориентации, цели и задачи;</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2) формы организации деятельности, их структурирование;</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3) воспитательные отношения и личностные отношения к окружающему миру;</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4) управление воспитательной системой;</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5) открытость системы, взаимодействие с окружающей средой (объектами). </w:t>
      </w:r>
    </w:p>
    <w:p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Вопросы мониторинга строились таким образом, чтобы максимально полно раскрыть состояние каждого компонента системы, при этом ответы на один вопрос дополняли и уточняли ответы на другие вопросы. </w:t>
      </w:r>
    </w:p>
    <w:p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В содержание данного мониторинга не был включён блок вопросов по воспитательным отношениям. Изучение этого важнейшего компонента воспитательной системы предполагает специальный круг методик. Самоанализ не позволяет дать объективную картину, поэтому представление о воспитательных отношениях частично рассматриваться через анализ ценностных ориентаций педагогов. </w:t>
      </w:r>
    </w:p>
    <w:p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Вопросы по всем другим блокам предполагали выбор предложенного варианта ответа, а также возможные дополнения, отражающие особенности данной образовательной организации. </w:t>
      </w:r>
    </w:p>
    <w:p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Данные, полученные в ходе мониторинга, обрабатывались на основе сопоставительного анализа, что позволило выявить проблемные зоны в состоянии воспитательных систем. </w:t>
      </w:r>
    </w:p>
    <w:p w:rsidR="006A7AB3" w:rsidRPr="006A7AB3" w:rsidRDefault="006A7AB3" w:rsidP="006A7AB3">
      <w:pPr>
        <w:numPr>
          <w:ilvl w:val="0"/>
          <w:numId w:val="2"/>
        </w:numPr>
        <w:spacing w:after="0"/>
        <w:contextualSpacing/>
        <w:jc w:val="center"/>
        <w:rPr>
          <w:rFonts w:ascii="Times New Roman" w:eastAsia="Calibri" w:hAnsi="Times New Roman" w:cs="Times New Roman"/>
          <w:sz w:val="28"/>
          <w:szCs w:val="28"/>
        </w:rPr>
      </w:pPr>
      <w:r w:rsidRPr="006A7AB3">
        <w:rPr>
          <w:rFonts w:ascii="Times New Roman" w:eastAsia="Calibri" w:hAnsi="Times New Roman" w:cs="Times New Roman"/>
          <w:b/>
          <w:sz w:val="28"/>
          <w:szCs w:val="28"/>
        </w:rPr>
        <w:t>Участниками опроса стали</w:t>
      </w:r>
      <w:r w:rsidRPr="006A7AB3">
        <w:rPr>
          <w:rFonts w:ascii="Times New Roman" w:eastAsia="Calibri" w:hAnsi="Times New Roman" w:cs="Times New Roman"/>
          <w:sz w:val="28"/>
          <w:szCs w:val="28"/>
        </w:rPr>
        <w:t>:</w:t>
      </w:r>
    </w:p>
    <w:p w:rsidR="006A7AB3" w:rsidRPr="006A7AB3" w:rsidRDefault="006A7AB3" w:rsidP="006A7AB3">
      <w:pPr>
        <w:spacing w:after="0"/>
        <w:ind w:firstLine="68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56 организаций, из них: 11 – сельских, 19 – поселковых, 26 – городских.</w:t>
      </w:r>
    </w:p>
    <w:tbl>
      <w:tblPr>
        <w:tblW w:w="0" w:type="auto"/>
        <w:tblLook w:val="04A0" w:firstRow="1" w:lastRow="0" w:firstColumn="1" w:lastColumn="0" w:noHBand="0" w:noVBand="1"/>
      </w:tblPr>
      <w:tblGrid>
        <w:gridCol w:w="3115"/>
        <w:gridCol w:w="3115"/>
        <w:gridCol w:w="3115"/>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rPr>
                <w:rFonts w:ascii="Times New Roman" w:hAnsi="Times New Roman"/>
                <w:b/>
                <w:sz w:val="24"/>
                <w:szCs w:val="24"/>
              </w:rPr>
            </w:pPr>
            <w:r>
              <w:rPr>
                <w:rFonts w:ascii="Times New Roman" w:hAnsi="Times New Roman"/>
                <w:b/>
                <w:sz w:val="24"/>
                <w:szCs w:val="24"/>
              </w:rPr>
              <w:t>Район</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Количество школ</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Примечания</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rPr>
                <w:rFonts w:ascii="Times New Roman" w:hAnsi="Times New Roman"/>
                <w:sz w:val="24"/>
                <w:szCs w:val="24"/>
              </w:rPr>
            </w:pPr>
            <w:r>
              <w:rPr>
                <w:rFonts w:ascii="Times New Roman" w:hAnsi="Times New Roman"/>
                <w:sz w:val="24"/>
                <w:szCs w:val="24"/>
              </w:rPr>
              <w:t>Бокситогорский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с+п+г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rPr>
                <w:rFonts w:ascii="Times New Roman" w:hAnsi="Times New Roman"/>
                <w:sz w:val="24"/>
                <w:szCs w:val="24"/>
              </w:rPr>
            </w:pPr>
            <w:r>
              <w:rPr>
                <w:rFonts w:ascii="Times New Roman" w:hAnsi="Times New Roman"/>
                <w:sz w:val="24"/>
                <w:szCs w:val="24"/>
              </w:rPr>
              <w:t>Волосовский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с+п+г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rPr>
                <w:rFonts w:ascii="Times New Roman" w:hAnsi="Times New Roman"/>
                <w:sz w:val="24"/>
                <w:szCs w:val="24"/>
              </w:rPr>
            </w:pPr>
            <w:r>
              <w:rPr>
                <w:rFonts w:ascii="Times New Roman" w:hAnsi="Times New Roman"/>
                <w:sz w:val="24"/>
                <w:szCs w:val="24"/>
              </w:rPr>
              <w:t>Всеволожский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с+п+г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Кингисеппский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1п+2г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Киришский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п+г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Лодейнопольский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с+п+2г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Ломоносовский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3с</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lastRenderedPageBreak/>
              <w:t>Лужский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2п+г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Подпорожский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с+2п+2г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Приозерский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2п+г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Сланцевский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с+2г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Сосновый Бор</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Тихвинский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с+2г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Тосненский</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15</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sz w:val="24"/>
                <w:szCs w:val="24"/>
              </w:rPr>
              <w:t>с+7п+7г</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b/>
                <w:sz w:val="24"/>
                <w:szCs w:val="24"/>
              </w:rPr>
            </w:pPr>
            <w:r>
              <w:rPr>
                <w:rFonts w:ascii="Times New Roman" w:hAnsi="Times New Roman"/>
                <w:b/>
                <w:sz w:val="24"/>
                <w:szCs w:val="24"/>
              </w:rPr>
              <w:t>Всего</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sz w:val="24"/>
                <w:szCs w:val="24"/>
              </w:rPr>
              <w:t>11с+19п+26г</w:t>
            </w:r>
          </w:p>
        </w:tc>
      </w:tr>
    </w:tbl>
    <w:p w:rsidR="006A7AB3" w:rsidRDefault="006A7AB3" w:rsidP="006A7AB3">
      <w:pPr>
        <w:spacing w:after="0"/>
        <w:ind w:firstLine="708"/>
        <w:contextualSpacing/>
        <w:jc w:val="both"/>
        <w:rPr>
          <w:rFonts w:ascii="Times New Roman" w:eastAsia="Calibri" w:hAnsi="Times New Roman" w:cs="Times New Roman"/>
          <w:sz w:val="24"/>
          <w:szCs w:val="24"/>
        </w:rPr>
      </w:pPr>
    </w:p>
    <w:p w:rsidR="006A7AB3" w:rsidRPr="006A7AB3" w:rsidRDefault="006A7AB3" w:rsidP="006A7AB3">
      <w:pPr>
        <w:spacing w:after="0"/>
        <w:ind w:firstLine="708"/>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Четыре района не приняли участия в мониторинге: Волховский, Выборгский, Гатчинский, Кировский.</w:t>
      </w:r>
    </w:p>
    <w:p w:rsidR="006A7AB3" w:rsidRPr="006A7AB3" w:rsidRDefault="006A7AB3" w:rsidP="006A7AB3">
      <w:pPr>
        <w:spacing w:after="0"/>
        <w:ind w:firstLine="708"/>
        <w:contextualSpacing/>
        <w:jc w:val="both"/>
        <w:rPr>
          <w:rFonts w:ascii="Times New Roman" w:eastAsia="Calibri" w:hAnsi="Times New Roman" w:cs="Times New Roman"/>
          <w:sz w:val="28"/>
          <w:szCs w:val="28"/>
        </w:rPr>
      </w:pPr>
    </w:p>
    <w:p w:rsidR="006A7AB3" w:rsidRPr="006A7AB3" w:rsidRDefault="006A7AB3" w:rsidP="006A7AB3">
      <w:pPr>
        <w:spacing w:after="0"/>
        <w:ind w:firstLine="708"/>
        <w:jc w:val="center"/>
        <w:rPr>
          <w:rFonts w:ascii="Times New Roman" w:hAnsi="Times New Roman" w:cs="Times New Roman"/>
          <w:b/>
          <w:sz w:val="28"/>
          <w:szCs w:val="28"/>
        </w:rPr>
      </w:pPr>
      <w:r w:rsidRPr="006A7AB3">
        <w:rPr>
          <w:rFonts w:ascii="Times New Roman" w:hAnsi="Times New Roman" w:cs="Times New Roman"/>
          <w:b/>
          <w:sz w:val="28"/>
          <w:szCs w:val="28"/>
        </w:rPr>
        <w:t>2.Оценка состояния воспитательной системы</w:t>
      </w:r>
    </w:p>
    <w:p w:rsidR="006A7AB3" w:rsidRPr="006A7AB3" w:rsidRDefault="006A7AB3" w:rsidP="006A7AB3">
      <w:pPr>
        <w:spacing w:after="0"/>
        <w:ind w:firstLine="708"/>
        <w:jc w:val="center"/>
        <w:rPr>
          <w:rFonts w:ascii="Times New Roman" w:hAnsi="Times New Roman" w:cs="Times New Roman"/>
          <w:b/>
          <w:sz w:val="28"/>
          <w:szCs w:val="28"/>
        </w:rPr>
      </w:pPr>
    </w:p>
    <w:p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t>Исходной для всего последующего анализа данных мониторинга была самооценка состояния воспитательной системы образовательной организации, которая была представлена респондентами при ответе на первый вопрос анкеты. Как видно из приведённой таблицы 2.1., руководители всех школ убеждены в том, что в их организации воспитательная система (далее - ВС) создана, при этом называют этап, на котором она находится.</w:t>
      </w:r>
    </w:p>
    <w:p w:rsidR="006A7AB3" w:rsidRPr="006A7AB3" w:rsidRDefault="006A7AB3" w:rsidP="006A7AB3">
      <w:pPr>
        <w:spacing w:after="0"/>
        <w:ind w:firstLine="708"/>
        <w:jc w:val="center"/>
        <w:rPr>
          <w:rFonts w:ascii="Times New Roman" w:hAnsi="Times New Roman" w:cs="Times New Roman"/>
          <w:b/>
          <w:sz w:val="28"/>
          <w:szCs w:val="28"/>
        </w:rPr>
      </w:pPr>
      <w:r w:rsidRPr="006A7AB3">
        <w:rPr>
          <w:rFonts w:ascii="Times New Roman" w:hAnsi="Times New Roman" w:cs="Times New Roman"/>
          <w:b/>
          <w:sz w:val="28"/>
          <w:szCs w:val="28"/>
        </w:rPr>
        <w:t>2.1.  Состояние воспитательной системы</w:t>
      </w:r>
    </w:p>
    <w:p w:rsidR="006A7AB3" w:rsidRDefault="006A7AB3" w:rsidP="006A7AB3">
      <w:pPr>
        <w:spacing w:after="0"/>
        <w:ind w:firstLine="708"/>
        <w:contextualSpacing/>
        <w:jc w:val="center"/>
        <w:rPr>
          <w:rFonts w:ascii="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Количество ответов,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both"/>
              <w:rPr>
                <w:rFonts w:ascii="Times New Roman" w:hAnsi="Times New Roman"/>
                <w:sz w:val="24"/>
                <w:szCs w:val="24"/>
              </w:rPr>
            </w:pPr>
            <w:r>
              <w:rPr>
                <w:rFonts w:ascii="Times New Roman" w:hAnsi="Times New Roman"/>
                <w:sz w:val="24"/>
                <w:szCs w:val="24"/>
              </w:rPr>
              <w:t>Становление</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3</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5,3 %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both"/>
              <w:rPr>
                <w:rFonts w:ascii="Times New Roman" w:hAnsi="Times New Roman"/>
                <w:sz w:val="24"/>
                <w:szCs w:val="24"/>
              </w:rPr>
            </w:pPr>
            <w:r>
              <w:rPr>
                <w:rFonts w:ascii="Times New Roman" w:hAnsi="Times New Roman"/>
                <w:sz w:val="24"/>
                <w:szCs w:val="24"/>
              </w:rPr>
              <w:t>Функционирование</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27</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48,2 %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both"/>
              <w:rPr>
                <w:rFonts w:ascii="Times New Roman" w:hAnsi="Times New Roman"/>
                <w:sz w:val="24"/>
                <w:szCs w:val="24"/>
              </w:rPr>
            </w:pPr>
            <w:r>
              <w:rPr>
                <w:rFonts w:ascii="Times New Roman" w:hAnsi="Times New Roman"/>
                <w:sz w:val="24"/>
                <w:szCs w:val="24"/>
              </w:rPr>
              <w:t>Развитие</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26</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46,4 %</w:t>
            </w:r>
          </w:p>
        </w:tc>
      </w:tr>
    </w:tbl>
    <w:p w:rsidR="006A7AB3" w:rsidRDefault="006A7AB3" w:rsidP="006A7AB3">
      <w:pPr>
        <w:spacing w:after="0"/>
        <w:ind w:firstLine="708"/>
        <w:contextualSpacing/>
        <w:jc w:val="both"/>
        <w:rPr>
          <w:rFonts w:ascii="Times New Roman" w:hAnsi="Times New Roman" w:cs="Times New Roman"/>
          <w:sz w:val="24"/>
          <w:szCs w:val="24"/>
        </w:rPr>
      </w:pP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Как свидетельствуют полученные ответы, лишь 3 организации находятся на этапе становления воспитательной системы, остальные вышли на этап функционирования - 27 организаций (48,2%), развития – 26 организаций (46,4%). </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Представляют определенный интерес данные по разным типам поселений с точки зрения зрелости воспитательных систем, об этом свидетельствует таблица 2.1. </w:t>
      </w:r>
    </w:p>
    <w:p w:rsidR="006A7AB3" w:rsidRPr="006A7AB3" w:rsidRDefault="006A7AB3" w:rsidP="006A7AB3">
      <w:pPr>
        <w:spacing w:after="0"/>
        <w:contextualSpacing/>
        <w:jc w:val="both"/>
        <w:rPr>
          <w:rFonts w:ascii="Times New Roman" w:hAnsi="Times New Roman" w:cs="Times New Roman"/>
          <w:b/>
          <w:sz w:val="28"/>
          <w:szCs w:val="28"/>
        </w:rPr>
      </w:pPr>
    </w:p>
    <w:p w:rsidR="006A7AB3" w:rsidRPr="006A7AB3" w:rsidRDefault="006A7AB3" w:rsidP="006A7AB3">
      <w:p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2.1.а. Состояние воспитательной системы в поселениях разного типа</w:t>
      </w:r>
    </w:p>
    <w:tbl>
      <w:tblPr>
        <w:tblW w:w="0" w:type="auto"/>
        <w:tblLayout w:type="fixed"/>
        <w:tblLook w:val="04A0" w:firstRow="1" w:lastRow="0" w:firstColumn="1" w:lastColumn="0" w:noHBand="0" w:noVBand="1"/>
      </w:tblPr>
      <w:tblGrid>
        <w:gridCol w:w="3115"/>
        <w:gridCol w:w="1388"/>
        <w:gridCol w:w="992"/>
        <w:gridCol w:w="992"/>
        <w:gridCol w:w="992"/>
        <w:gridCol w:w="992"/>
        <w:gridCol w:w="992"/>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rPr>
                <w:rFonts w:ascii="Times New Roman" w:hAnsi="Times New Roman"/>
                <w:b/>
                <w:sz w:val="24"/>
                <w:szCs w:val="24"/>
              </w:rPr>
            </w:pPr>
            <w:r>
              <w:rPr>
                <w:rFonts w:ascii="Times New Roman" w:hAnsi="Times New Roman"/>
                <w:b/>
                <w:sz w:val="24"/>
                <w:szCs w:val="24"/>
              </w:rPr>
              <w:t>Ответы</w:t>
            </w:r>
          </w:p>
        </w:tc>
        <w:tc>
          <w:tcPr>
            <w:tcW w:w="1388"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Поселковые</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b/>
                <w:sz w:val="24"/>
                <w:szCs w:val="24"/>
              </w:rPr>
            </w:pPr>
            <w:r>
              <w:rPr>
                <w:rFonts w:ascii="Times New Roman" w:hAnsi="Times New Roman"/>
                <w:b/>
                <w:sz w:val="24"/>
                <w:szCs w:val="24"/>
              </w:rPr>
              <w:t>%</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both"/>
              <w:rPr>
                <w:rFonts w:ascii="Times New Roman" w:hAnsi="Times New Roman"/>
                <w:sz w:val="24"/>
                <w:szCs w:val="24"/>
              </w:rPr>
            </w:pPr>
            <w:r>
              <w:rPr>
                <w:rFonts w:ascii="Times New Roman" w:hAnsi="Times New Roman"/>
                <w:sz w:val="24"/>
                <w:szCs w:val="24"/>
              </w:rPr>
              <w:t>Становление</w:t>
            </w:r>
          </w:p>
        </w:tc>
        <w:tc>
          <w:tcPr>
            <w:tcW w:w="1388"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10,53</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3,85</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both"/>
              <w:rPr>
                <w:rFonts w:ascii="Times New Roman" w:hAnsi="Times New Roman"/>
                <w:sz w:val="24"/>
                <w:szCs w:val="24"/>
              </w:rPr>
            </w:pPr>
            <w:r>
              <w:rPr>
                <w:rFonts w:ascii="Times New Roman" w:hAnsi="Times New Roman"/>
                <w:sz w:val="24"/>
                <w:szCs w:val="24"/>
              </w:rPr>
              <w:t>Функционирование</w:t>
            </w:r>
          </w:p>
        </w:tc>
        <w:tc>
          <w:tcPr>
            <w:tcW w:w="1388"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63,64</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31,58</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53,85</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both"/>
              <w:rPr>
                <w:rFonts w:ascii="Times New Roman" w:hAnsi="Times New Roman"/>
                <w:sz w:val="24"/>
                <w:szCs w:val="24"/>
              </w:rPr>
            </w:pPr>
            <w:r>
              <w:rPr>
                <w:rFonts w:ascii="Times New Roman" w:hAnsi="Times New Roman"/>
                <w:sz w:val="24"/>
                <w:szCs w:val="24"/>
              </w:rPr>
              <w:t>Развитие</w:t>
            </w:r>
          </w:p>
        </w:tc>
        <w:tc>
          <w:tcPr>
            <w:tcW w:w="1388"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36,36</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57,89</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jc w:val="right"/>
              <w:rPr>
                <w:rFonts w:ascii="Times New Roman" w:hAnsi="Times New Roman"/>
                <w:sz w:val="24"/>
                <w:szCs w:val="24"/>
              </w:rPr>
            </w:pPr>
            <w:r>
              <w:rPr>
                <w:rFonts w:ascii="Times New Roman" w:hAnsi="Times New Roman"/>
                <w:sz w:val="24"/>
                <w:szCs w:val="24"/>
              </w:rPr>
              <w:t>42,31</w:t>
            </w:r>
          </w:p>
        </w:tc>
      </w:tr>
    </w:tbl>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lastRenderedPageBreak/>
        <w:t xml:space="preserve">Рассмотрение полученных ответов, свидетельствует о том, что в мониторинге приняли участие школы, которые достаточно высоко оценивают уровень развития своей организации как воспитательной системы.  Участники мониторинга – образовательные организации из городской местности и поселков городского типа имеют в своем составе школы, находящиеся на разных этапах формирования своих воспитательных систем. Сельские школы представлены только организациями, находящимися на этапе функционирования и развития   систем, что говорит, если согласиться с их руководителями, о более совершенных характеристиках всех их структурных компонентов. </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Определение состояния ВС отражает понимание воспитательной системы как целостного социального института, обладающего рядом только ему свойственных характеристик. Данные утверждения можно считать правомерными только после анализа проработанности компонентов воспитательной системы, представленных в таблице 2.2.</w:t>
      </w:r>
    </w:p>
    <w:p w:rsidR="006A7AB3" w:rsidRPr="006A7AB3" w:rsidRDefault="006A7AB3" w:rsidP="006A7AB3">
      <w:pPr>
        <w:spacing w:after="160" w:line="256" w:lineRule="auto"/>
        <w:ind w:left="680"/>
        <w:jc w:val="center"/>
        <w:rPr>
          <w:rFonts w:ascii="Times New Roman" w:eastAsia="Calibri" w:hAnsi="Times New Roman" w:cs="Times New Roman"/>
          <w:b/>
          <w:sz w:val="28"/>
          <w:szCs w:val="28"/>
        </w:rPr>
      </w:pPr>
      <w:r w:rsidRPr="006A7AB3">
        <w:rPr>
          <w:rFonts w:ascii="Times New Roman" w:eastAsia="Times New Roman" w:hAnsi="Times New Roman" w:cs="Times New Roman"/>
          <w:b/>
          <w:sz w:val="28"/>
          <w:szCs w:val="28"/>
        </w:rPr>
        <w:t>2.2. Степень проработанности компонентов воспитательной системы образовательной организации</w:t>
      </w:r>
    </w:p>
    <w:tbl>
      <w:tblPr>
        <w:tblW w:w="0" w:type="auto"/>
        <w:tblInd w:w="-289" w:type="dxa"/>
        <w:tblLayout w:type="fixed"/>
        <w:tblLook w:val="04A0" w:firstRow="1" w:lastRow="0" w:firstColumn="1" w:lastColumn="0" w:noHBand="0" w:noVBand="1"/>
      </w:tblPr>
      <w:tblGrid>
        <w:gridCol w:w="806"/>
        <w:gridCol w:w="2977"/>
        <w:gridCol w:w="1984"/>
        <w:gridCol w:w="2143"/>
        <w:gridCol w:w="1985"/>
      </w:tblGrid>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Компонент ВС</w:t>
            </w:r>
          </w:p>
        </w:tc>
        <w:tc>
          <w:tcPr>
            <w:tcW w:w="19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214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c>
          <w:tcPr>
            <w:tcW w:w="198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Не проработан</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Определение целей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 (</w:t>
            </w:r>
            <w:r>
              <w:rPr>
                <w:rFonts w:ascii="Times New Roman" w:eastAsia="Times New Roman" w:hAnsi="Times New Roman"/>
                <w:color w:val="000000"/>
                <w:sz w:val="24"/>
                <w:szCs w:val="24"/>
                <w:lang w:eastAsia="ru-RU"/>
              </w:rPr>
              <w:t>89,29%)</w:t>
            </w:r>
          </w:p>
        </w:tc>
        <w:tc>
          <w:tcPr>
            <w:tcW w:w="214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w:t>
            </w:r>
            <w:r>
              <w:rPr>
                <w:rFonts w:ascii="Times New Roman" w:eastAsia="Times New Roman" w:hAnsi="Times New Roman"/>
                <w:color w:val="000000"/>
                <w:sz w:val="24"/>
                <w:szCs w:val="24"/>
                <w:lang w:eastAsia="ru-RU"/>
              </w:rPr>
              <w:t>10,71%)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Комплекс видов деятельности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 (</w:t>
            </w:r>
            <w:r>
              <w:rPr>
                <w:rFonts w:ascii="Times New Roman" w:eastAsia="Times New Roman" w:hAnsi="Times New Roman"/>
                <w:color w:val="000000"/>
                <w:sz w:val="24"/>
                <w:szCs w:val="24"/>
                <w:lang w:eastAsia="ru-RU"/>
              </w:rPr>
              <w:t>73,21%)</w:t>
            </w:r>
          </w:p>
        </w:tc>
        <w:tc>
          <w:tcPr>
            <w:tcW w:w="214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 (</w:t>
            </w:r>
            <w:r>
              <w:rPr>
                <w:rFonts w:ascii="Times New Roman" w:eastAsia="Times New Roman" w:hAnsi="Times New Roman"/>
                <w:color w:val="000000"/>
                <w:sz w:val="24"/>
                <w:szCs w:val="24"/>
                <w:lang w:eastAsia="ru-RU"/>
              </w:rPr>
              <w:t>26,79%)</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Отношения (сформированность школьного коллектива)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 (</w:t>
            </w:r>
            <w:r>
              <w:rPr>
                <w:rFonts w:ascii="Times New Roman" w:eastAsia="Times New Roman" w:hAnsi="Times New Roman"/>
                <w:color w:val="000000"/>
                <w:sz w:val="24"/>
                <w:szCs w:val="24"/>
                <w:lang w:eastAsia="ru-RU"/>
              </w:rPr>
              <w:t>55,36%)</w:t>
            </w:r>
          </w:p>
        </w:tc>
        <w:tc>
          <w:tcPr>
            <w:tcW w:w="214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 (</w:t>
            </w:r>
            <w:r>
              <w:rPr>
                <w:rFonts w:ascii="Times New Roman" w:eastAsia="Times New Roman" w:hAnsi="Times New Roman"/>
                <w:color w:val="000000"/>
                <w:sz w:val="24"/>
                <w:szCs w:val="24"/>
                <w:lang w:eastAsia="ru-RU"/>
              </w:rPr>
              <w:t>44,64%)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Управление и самоуправление (организационная структура ВС)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 (</w:t>
            </w:r>
            <w:r>
              <w:rPr>
                <w:rFonts w:ascii="Times New Roman" w:eastAsia="Times New Roman" w:hAnsi="Times New Roman"/>
                <w:color w:val="000000"/>
                <w:sz w:val="24"/>
                <w:szCs w:val="24"/>
                <w:lang w:eastAsia="ru-RU"/>
              </w:rPr>
              <w:t>44,64%)</w:t>
            </w:r>
          </w:p>
        </w:tc>
        <w:tc>
          <w:tcPr>
            <w:tcW w:w="214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 (</w:t>
            </w:r>
            <w:r>
              <w:rPr>
                <w:rFonts w:ascii="Times New Roman" w:eastAsia="Times New Roman" w:hAnsi="Times New Roman"/>
                <w:color w:val="000000"/>
                <w:sz w:val="24"/>
                <w:szCs w:val="24"/>
                <w:lang w:eastAsia="ru-RU"/>
              </w:rPr>
              <w:t>55,36%)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Открытость (состояние внешних связей)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 (</w:t>
            </w:r>
            <w:r>
              <w:rPr>
                <w:rFonts w:ascii="Times New Roman" w:eastAsia="Times New Roman" w:hAnsi="Times New Roman"/>
                <w:color w:val="000000"/>
                <w:sz w:val="24"/>
                <w:szCs w:val="24"/>
                <w:lang w:eastAsia="ru-RU"/>
              </w:rPr>
              <w:t>76,79%)</w:t>
            </w:r>
          </w:p>
        </w:tc>
        <w:tc>
          <w:tcPr>
            <w:tcW w:w="214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 (23,21%)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Анализ данных о проработанности компонентов воспитательных систем свидетельствует о том, что во всех организациях либо полностью, либо частично они разработаны. Практически все организации определились с целями деятельности – 89,3 %, две трети – с комплексом видов деятельности – 73,2 %, с выстраиванием внешних связей в образовательной среде – 76,7 %.  Несколько хуже обстоит дело с формированием школьного коллектива – 55,3 % респондентов полностью справились с этой задачей, с созданием организационной структуры – 44, 6 % респондентов ответили, что у них эта задача решена.</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lastRenderedPageBreak/>
        <w:t xml:space="preserve">О том, как решается эта задача организациями, расположенными в разных типах поселений, свидетельствуют данные таблицы 2.2.а. </w:t>
      </w:r>
    </w:p>
    <w:p w:rsidR="006A7AB3" w:rsidRPr="006A7AB3" w:rsidRDefault="006A7AB3" w:rsidP="006A7AB3">
      <w:pPr>
        <w:spacing w:after="0" w:line="240" w:lineRule="auto"/>
        <w:ind w:firstLine="708"/>
        <w:contextualSpacing/>
        <w:jc w:val="both"/>
        <w:rPr>
          <w:rFonts w:ascii="Times New Roman" w:hAnsi="Times New Roman" w:cs="Times New Roman"/>
          <w:sz w:val="28"/>
          <w:szCs w:val="28"/>
        </w:rPr>
      </w:pPr>
    </w:p>
    <w:p w:rsidR="006A7AB3" w:rsidRPr="006A7AB3" w:rsidRDefault="006A7AB3" w:rsidP="006A7AB3">
      <w:pPr>
        <w:spacing w:after="0" w:line="240" w:lineRule="auto"/>
        <w:ind w:firstLine="708"/>
        <w:contextualSpacing/>
        <w:jc w:val="center"/>
        <w:rPr>
          <w:rFonts w:ascii="Times New Roman" w:hAnsi="Times New Roman" w:cs="Times New Roman"/>
          <w:b/>
          <w:sz w:val="28"/>
          <w:szCs w:val="28"/>
        </w:rPr>
      </w:pPr>
      <w:r w:rsidRPr="006A7AB3">
        <w:rPr>
          <w:rFonts w:ascii="Times New Roman" w:hAnsi="Times New Roman" w:cs="Times New Roman"/>
          <w:b/>
          <w:sz w:val="28"/>
          <w:szCs w:val="28"/>
        </w:rPr>
        <w:t>2.2.а. Степень проработанности компонентов воспитательной системы образовательной организации в разных типах поселения</w:t>
      </w:r>
    </w:p>
    <w:p w:rsidR="006A7AB3" w:rsidRPr="006A7AB3" w:rsidRDefault="006A7AB3" w:rsidP="006A7AB3">
      <w:pPr>
        <w:spacing w:after="0" w:line="240" w:lineRule="auto"/>
        <w:ind w:firstLine="708"/>
        <w:contextualSpacing/>
        <w:jc w:val="center"/>
        <w:rPr>
          <w:rFonts w:ascii="Times New Roman" w:hAnsi="Times New Roman" w:cs="Times New Roman"/>
          <w:sz w:val="28"/>
          <w:szCs w:val="28"/>
        </w:rPr>
      </w:pPr>
    </w:p>
    <w:tbl>
      <w:tblPr>
        <w:tblW w:w="0" w:type="auto"/>
        <w:tblInd w:w="-289" w:type="dxa"/>
        <w:tblLayout w:type="fixed"/>
        <w:tblLook w:val="04A0" w:firstRow="1" w:lastRow="0" w:firstColumn="1" w:lastColumn="0" w:noHBand="0" w:noVBand="1"/>
      </w:tblPr>
      <w:tblGrid>
        <w:gridCol w:w="806"/>
        <w:gridCol w:w="2977"/>
        <w:gridCol w:w="1009"/>
        <w:gridCol w:w="992"/>
        <w:gridCol w:w="992"/>
        <w:gridCol w:w="992"/>
        <w:gridCol w:w="992"/>
        <w:gridCol w:w="992"/>
      </w:tblGrid>
      <w:tr w:rsidR="006A7AB3" w:rsidTr="006A7AB3">
        <w:tc>
          <w:tcPr>
            <w:tcW w:w="806"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eastAsia="Times New Roman" w:hAnsi="Times New Roman"/>
                <w:b/>
                <w:color w:val="2F5496"/>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eastAsia="Times New Roman" w:hAnsi="Times New Roman"/>
                <w:b/>
                <w:color w:val="2F5496"/>
                <w:sz w:val="24"/>
                <w:szCs w:val="24"/>
              </w:rPr>
            </w:pPr>
          </w:p>
        </w:tc>
        <w:tc>
          <w:tcPr>
            <w:tcW w:w="200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1984"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1984"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 %</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Компонент ВС</w:t>
            </w:r>
          </w:p>
        </w:tc>
        <w:tc>
          <w:tcPr>
            <w:tcW w:w="100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Полностью</w:t>
            </w:r>
          </w:p>
        </w:tc>
        <w:tc>
          <w:tcPr>
            <w:tcW w:w="99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Частично</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Определение целей</w:t>
            </w:r>
          </w:p>
        </w:tc>
        <w:tc>
          <w:tcPr>
            <w:tcW w:w="10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15,79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92,31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7,69</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 видов деятельности; организационная структура ВС</w:t>
            </w:r>
          </w:p>
        </w:tc>
        <w:tc>
          <w:tcPr>
            <w:tcW w:w="10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81,82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42,11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80,77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19,23</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Отношения (сформированность школьного коллектива) </w:t>
            </w:r>
          </w:p>
        </w:tc>
        <w:tc>
          <w:tcPr>
            <w:tcW w:w="10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27,27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47,37</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52,63</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53,85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46,15</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и самоуправление</w:t>
            </w:r>
          </w:p>
        </w:tc>
        <w:tc>
          <w:tcPr>
            <w:tcW w:w="10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36,84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53,85</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46,15</w:t>
            </w:r>
          </w:p>
        </w:tc>
      </w:tr>
      <w:tr w:rsidR="006A7AB3" w:rsidTr="006A7AB3">
        <w:tc>
          <w:tcPr>
            <w:tcW w:w="80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Открытость (состояние внешних связей)</w:t>
            </w:r>
          </w:p>
        </w:tc>
        <w:tc>
          <w:tcPr>
            <w:tcW w:w="10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68,42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31,58</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23,08</w:t>
            </w:r>
          </w:p>
        </w:tc>
      </w:tr>
    </w:tbl>
    <w:p w:rsidR="006A7AB3" w:rsidRDefault="006A7AB3" w:rsidP="006A7AB3">
      <w:pPr>
        <w:spacing w:after="0" w:line="240" w:lineRule="auto"/>
        <w:ind w:firstLine="708"/>
        <w:contextualSpacing/>
        <w:jc w:val="both"/>
        <w:rPr>
          <w:rFonts w:ascii="Times New Roman" w:hAnsi="Times New Roman" w:cs="Times New Roman"/>
          <w:sz w:val="24"/>
          <w:szCs w:val="24"/>
        </w:rPr>
      </w:pP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Исходя из полученных данных, по совокупной проработанности всех компонентов, лидируют сельские школы, и это вполне объяснимо, поскольку в их составе нет школ, находящихся на этапе становления воспитательной системы. Лишь один из пяти компонентов у них представлен показателем ниже среднего по всей выборке – это управление и самоуправление – 36,3 % против 44, 6 % (средний показатель).</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Подробному анализу состояния проработанности базовых компонентов системы посвящены все последующие разделы мониторинга. Этот анализ вносит уточнения в первичную оценку состояния воспитательных систем, данную руководителями школ. </w:t>
      </w:r>
    </w:p>
    <w:p w:rsidR="006A7AB3" w:rsidRPr="006A7AB3" w:rsidRDefault="006A7AB3" w:rsidP="006A7AB3">
      <w:pPr>
        <w:spacing w:after="0"/>
        <w:ind w:firstLine="708"/>
        <w:contextualSpacing/>
        <w:jc w:val="both"/>
        <w:rPr>
          <w:rFonts w:ascii="Times New Roman" w:hAnsi="Times New Roman" w:cs="Times New Roman"/>
          <w:sz w:val="28"/>
          <w:szCs w:val="28"/>
        </w:rPr>
      </w:pPr>
    </w:p>
    <w:p w:rsidR="006A7AB3" w:rsidRPr="006A7AB3" w:rsidRDefault="006A7AB3" w:rsidP="006A7AB3">
      <w:pPr>
        <w:numPr>
          <w:ilvl w:val="0"/>
          <w:numId w:val="2"/>
        </w:num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 xml:space="preserve">Анализ первого блока компонентов воспитательной системы: ценности, цели, задачи </w:t>
      </w:r>
    </w:p>
    <w:p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eastAsia="Times New Roman" w:hAnsi="Times New Roman" w:cs="Times New Roman"/>
          <w:sz w:val="28"/>
          <w:szCs w:val="28"/>
          <w:lang w:eastAsia="ru-RU"/>
        </w:rPr>
        <w:t>Целеполагание в любой воспитательной системе определяется исходя из принятых в общеобразовательной организации ценностей, которые разделяют все субъекты образовательных отношений.</w:t>
      </w:r>
      <w:r w:rsidRPr="006A7AB3">
        <w:rPr>
          <w:rFonts w:ascii="Times New Roman" w:hAnsi="Times New Roman" w:cs="Times New Roman"/>
          <w:sz w:val="28"/>
          <w:szCs w:val="28"/>
        </w:rPr>
        <w:t xml:space="preserve"> Система ценностей отражается в приоритетах содержания воспитания и характере межличностных отношений</w:t>
      </w:r>
      <w:r w:rsidRPr="006A7AB3">
        <w:rPr>
          <w:rFonts w:ascii="Times New Roman" w:eastAsia="Times New Roman" w:hAnsi="Times New Roman" w:cs="Times New Roman"/>
          <w:sz w:val="28"/>
          <w:szCs w:val="28"/>
          <w:lang w:eastAsia="ru-RU"/>
        </w:rPr>
        <w:t xml:space="preserve"> В вопроснике мониторинга были предложены те ценности, которые характеризуют направленность педагогов и старшеклассников на решение задач воспитательной системы (ВС)</w:t>
      </w:r>
      <w:r w:rsidRPr="006A7AB3">
        <w:rPr>
          <w:rFonts w:ascii="Times New Roman" w:hAnsi="Times New Roman" w:cs="Times New Roman"/>
          <w:sz w:val="28"/>
          <w:szCs w:val="28"/>
        </w:rPr>
        <w:t xml:space="preserve">. </w:t>
      </w:r>
    </w:p>
    <w:p w:rsidR="006A7AB3" w:rsidRPr="006A7AB3" w:rsidRDefault="006A7AB3" w:rsidP="006A7AB3">
      <w:pPr>
        <w:spacing w:after="0"/>
        <w:ind w:firstLine="708"/>
        <w:jc w:val="both"/>
        <w:rPr>
          <w:rFonts w:ascii="Times New Roman" w:hAnsi="Times New Roman" w:cs="Times New Roman"/>
          <w:sz w:val="28"/>
          <w:szCs w:val="28"/>
        </w:rPr>
      </w:pPr>
    </w:p>
    <w:p w:rsidR="006A7AB3" w:rsidRPr="006A7AB3" w:rsidRDefault="006A7AB3" w:rsidP="006A7AB3">
      <w:pPr>
        <w:numPr>
          <w:ilvl w:val="1"/>
          <w:numId w:val="2"/>
        </w:numPr>
        <w:spacing w:after="0" w:line="240" w:lineRule="auto"/>
        <w:contextualSpacing/>
        <w:jc w:val="center"/>
        <w:rPr>
          <w:rFonts w:ascii="Times New Roman" w:hAnsi="Times New Roman" w:cs="Times New Roman"/>
          <w:b/>
          <w:sz w:val="28"/>
          <w:szCs w:val="28"/>
        </w:rPr>
      </w:pPr>
      <w:r w:rsidRPr="006A7AB3">
        <w:rPr>
          <w:rFonts w:ascii="Times New Roman" w:hAnsi="Times New Roman" w:cs="Times New Roman"/>
          <w:b/>
          <w:sz w:val="28"/>
          <w:szCs w:val="28"/>
        </w:rPr>
        <w:t>Ценностные ориентации педагогов</w:t>
      </w:r>
    </w:p>
    <w:p w:rsidR="006A7AB3" w:rsidRPr="006A7AB3" w:rsidRDefault="006A7AB3" w:rsidP="006A7AB3">
      <w:pPr>
        <w:spacing w:after="0" w:line="360" w:lineRule="auto"/>
        <w:ind w:left="708"/>
        <w:jc w:val="both"/>
        <w:rPr>
          <w:rFonts w:ascii="Times New Roman" w:hAnsi="Times New Roman" w:cs="Times New Roman"/>
          <w:sz w:val="28"/>
          <w:szCs w:val="28"/>
        </w:rPr>
      </w:pPr>
      <w:r w:rsidRPr="006A7AB3">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649"/>
        <w:gridCol w:w="4763"/>
        <w:gridCol w:w="1244"/>
        <w:gridCol w:w="1369"/>
        <w:gridCol w:w="1320"/>
      </w:tblGrid>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Перечень ценностных ориентаций</w:t>
            </w:r>
          </w:p>
        </w:tc>
        <w:tc>
          <w:tcPr>
            <w:tcW w:w="12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75%</w:t>
            </w:r>
          </w:p>
        </w:tc>
        <w:tc>
          <w:tcPr>
            <w:tcW w:w="138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50% и менее</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Жизнь и здоровье ребёнка</w:t>
            </w:r>
          </w:p>
        </w:tc>
        <w:tc>
          <w:tcPr>
            <w:tcW w:w="12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 (100%)</w:t>
            </w:r>
          </w:p>
        </w:tc>
        <w:tc>
          <w:tcPr>
            <w:tcW w:w="1418"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eastAsia="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Отношения сотрудничества</w:t>
            </w:r>
          </w:p>
        </w:tc>
        <w:tc>
          <w:tcPr>
            <w:tcW w:w="12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 (64,3%)</w:t>
            </w:r>
          </w:p>
        </w:tc>
        <w:tc>
          <w:tcPr>
            <w:tcW w:w="14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 (35,7%)</w:t>
            </w:r>
          </w:p>
        </w:tc>
        <w:tc>
          <w:tcPr>
            <w:tcW w:w="138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Профессиональная компетентность</w:t>
            </w:r>
          </w:p>
        </w:tc>
        <w:tc>
          <w:tcPr>
            <w:tcW w:w="12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 (80,4%)</w:t>
            </w:r>
          </w:p>
        </w:tc>
        <w:tc>
          <w:tcPr>
            <w:tcW w:w="14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 (19,6%)</w:t>
            </w:r>
          </w:p>
        </w:tc>
        <w:tc>
          <w:tcPr>
            <w:tcW w:w="138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Познавательная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 (60,7%)</w:t>
            </w:r>
          </w:p>
        </w:tc>
        <w:tc>
          <w:tcPr>
            <w:tcW w:w="14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 (39,3%)</w:t>
            </w:r>
          </w:p>
        </w:tc>
        <w:tc>
          <w:tcPr>
            <w:tcW w:w="138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47 (83,9%)</w:t>
            </w:r>
          </w:p>
        </w:tc>
        <w:tc>
          <w:tcPr>
            <w:tcW w:w="14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(16,1%)</w:t>
            </w:r>
          </w:p>
        </w:tc>
        <w:tc>
          <w:tcPr>
            <w:tcW w:w="138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6A7AB3" w:rsidRDefault="006A7AB3" w:rsidP="006A7AB3">
      <w:pPr>
        <w:spacing w:after="0" w:line="240" w:lineRule="auto"/>
        <w:ind w:left="708"/>
        <w:jc w:val="both"/>
        <w:rPr>
          <w:rFonts w:ascii="Times New Roman" w:hAnsi="Times New Roman" w:cs="Times New Roman"/>
          <w:sz w:val="28"/>
          <w:szCs w:val="28"/>
        </w:rPr>
      </w:pPr>
    </w:p>
    <w:p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 xml:space="preserve">Позитивной информацией, следуя анализу данных этой таблицы, является 100% признание ценности жизни и здоровья ребёнка. Государственная политика в этой области формирования профессионального сознания оказала решающее влияние на осознание жизни и здоровья как ценности. Данная цифра не даёт возможности утверждать, что признание ценности влечёт за собой такой же уровень владения здоровьесберегающими и здоровьесозидающими технологиями, однако можно говорить о готовности к овладению такими технологиями. </w:t>
      </w:r>
    </w:p>
    <w:p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По данным мониторинга выявились ценностные приоритеты. В их числе профессиональная компетентность, значимость которой полностью разделяют 80,4 % респондентов, а также общая культура – 83,9 %  респондентов считают её безусловной ценностью. К проблемным вопросам следует отнести воспитательные отношения сотрудничества, вне которых невозможно достижение ни одной из целей, которые представлены в ответах руководителей, а также познавательную культуру педагога как ценности.</w:t>
      </w:r>
    </w:p>
    <w:p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 xml:space="preserve">Формирование субъектной позиции ребёнка, проявляющееся в самоопределении, творческом самовыражении, социальной инициативе и т.п. возможно только при воспитательных отношениях сотрудничества. Однако, лишь 64% педагогов полностью разделяют эту ценность. Эта цифра коррелирует с оценкой познавательной культуры личности педагога как ценности, здесь 60% респондентов полностью утверждают её приоритет. </w:t>
      </w:r>
    </w:p>
    <w:p w:rsidR="006A7AB3" w:rsidRPr="006A7AB3" w:rsidRDefault="006A7AB3" w:rsidP="006A7AB3">
      <w:pPr>
        <w:spacing w:after="0"/>
        <w:ind w:firstLine="680"/>
        <w:jc w:val="both"/>
        <w:rPr>
          <w:rFonts w:ascii="Times New Roman" w:hAnsi="Times New Roman" w:cs="Times New Roman"/>
          <w:sz w:val="28"/>
          <w:szCs w:val="28"/>
        </w:rPr>
      </w:pPr>
      <w:r w:rsidRPr="006A7AB3">
        <w:rPr>
          <w:rFonts w:ascii="Times New Roman" w:hAnsi="Times New Roman" w:cs="Times New Roman"/>
          <w:sz w:val="28"/>
          <w:szCs w:val="28"/>
        </w:rPr>
        <w:t xml:space="preserve">Гуманно-демократическая сущность воспитательных отношений сотрудничества проявляется в процессе взаимодействия педагогов и обучающихся в совместной деятельности по достижению значимой жизненно-практической задачи. Эта деятельность наполняется воспитательным </w:t>
      </w:r>
      <w:r w:rsidRPr="006A7AB3">
        <w:rPr>
          <w:rFonts w:ascii="Times New Roman" w:hAnsi="Times New Roman" w:cs="Times New Roman"/>
          <w:sz w:val="28"/>
          <w:szCs w:val="28"/>
        </w:rPr>
        <w:lastRenderedPageBreak/>
        <w:t>смыслом, отражающим уровень общей культуры и образованности педагога, а это требует непрерывного самообразования. К сожалению, не оценивая познавательную культуру как личную ценность, педагоги создают ряд проблем, тормозящих и личностное развитие школьника.</w:t>
      </w:r>
    </w:p>
    <w:p w:rsidR="006A7AB3" w:rsidRPr="006A7AB3" w:rsidRDefault="006A7AB3" w:rsidP="006A7AB3">
      <w:pPr>
        <w:spacing w:after="0"/>
        <w:ind w:firstLine="680"/>
        <w:jc w:val="both"/>
        <w:rPr>
          <w:rFonts w:ascii="Times New Roman" w:hAnsi="Times New Roman" w:cs="Times New Roman"/>
          <w:sz w:val="28"/>
          <w:szCs w:val="28"/>
        </w:rPr>
      </w:pPr>
    </w:p>
    <w:p w:rsidR="006A7AB3" w:rsidRPr="006A7AB3" w:rsidRDefault="006A7AB3" w:rsidP="006A7AB3">
      <w:pPr>
        <w:numPr>
          <w:ilvl w:val="1"/>
          <w:numId w:val="2"/>
        </w:numPr>
        <w:spacing w:after="0" w:line="240" w:lineRule="auto"/>
        <w:contextualSpacing/>
        <w:jc w:val="center"/>
        <w:rPr>
          <w:rFonts w:ascii="Times New Roman" w:eastAsia="Calibri" w:hAnsi="Times New Roman" w:cs="Times New Roman"/>
          <w:b/>
          <w:sz w:val="28"/>
          <w:szCs w:val="28"/>
        </w:rPr>
      </w:pPr>
      <w:r w:rsidRPr="006A7AB3">
        <w:rPr>
          <w:rFonts w:ascii="Times New Roman" w:hAnsi="Times New Roman" w:cs="Times New Roman"/>
          <w:b/>
          <w:sz w:val="28"/>
          <w:szCs w:val="28"/>
        </w:rPr>
        <w:t xml:space="preserve">Ценностные ориентации </w:t>
      </w:r>
      <w:r w:rsidRPr="006A7AB3">
        <w:rPr>
          <w:rFonts w:ascii="Times New Roman" w:eastAsia="Calibri" w:hAnsi="Times New Roman" w:cs="Times New Roman"/>
          <w:b/>
          <w:sz w:val="28"/>
          <w:szCs w:val="28"/>
        </w:rPr>
        <w:t xml:space="preserve"> обучающихся 11 классов </w:t>
      </w:r>
    </w:p>
    <w:p w:rsidR="006A7AB3" w:rsidRPr="006A7AB3" w:rsidRDefault="006A7AB3" w:rsidP="006A7AB3">
      <w:pPr>
        <w:spacing w:after="0" w:line="240" w:lineRule="auto"/>
        <w:ind w:left="708"/>
        <w:jc w:val="center"/>
        <w:rPr>
          <w:rFonts w:ascii="Times New Roman" w:eastAsia="Calibri" w:hAnsi="Times New Roman" w:cs="Times New Roman"/>
          <w:b/>
          <w:sz w:val="28"/>
          <w:szCs w:val="28"/>
        </w:rPr>
      </w:pPr>
    </w:p>
    <w:p w:rsidR="006A7AB3" w:rsidRPr="006A7AB3" w:rsidRDefault="006A7AB3" w:rsidP="006A7AB3">
      <w:pPr>
        <w:spacing w:after="0" w:line="256" w:lineRule="auto"/>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Для оценки образовательной организации как воспитательной системы важны ценностные ориентации её обучающихся, представленные в нижеприведенной таблице. </w:t>
      </w:r>
    </w:p>
    <w:p w:rsidR="006A7AB3" w:rsidRPr="006A7AB3" w:rsidRDefault="006A7AB3" w:rsidP="006A7AB3">
      <w:pPr>
        <w:spacing w:after="0" w:line="256" w:lineRule="auto"/>
        <w:ind w:firstLine="680"/>
        <w:jc w:val="both"/>
        <w:rPr>
          <w:rFonts w:ascii="Times New Roman" w:eastAsia="Calibri" w:hAnsi="Times New Roman" w:cs="Times New Roman"/>
          <w:sz w:val="28"/>
          <w:szCs w:val="28"/>
        </w:rPr>
      </w:pPr>
    </w:p>
    <w:p w:rsidR="006A7AB3" w:rsidRPr="006A7AB3" w:rsidRDefault="006A7AB3" w:rsidP="006A7AB3">
      <w:pPr>
        <w:spacing w:after="0" w:line="256" w:lineRule="auto"/>
        <w:ind w:left="708" w:firstLine="708"/>
        <w:jc w:val="both"/>
        <w:rPr>
          <w:rFonts w:ascii="Times New Roman" w:eastAsia="Calibri" w:hAnsi="Times New Roman" w:cs="Times New Roman"/>
          <w:b/>
          <w:sz w:val="28"/>
          <w:szCs w:val="28"/>
        </w:rPr>
      </w:pPr>
      <w:r w:rsidRPr="006A7AB3">
        <w:rPr>
          <w:rFonts w:ascii="Times New Roman" w:eastAsia="Calibri" w:hAnsi="Times New Roman" w:cs="Times New Roman"/>
          <w:b/>
          <w:sz w:val="28"/>
          <w:szCs w:val="28"/>
        </w:rPr>
        <w:t xml:space="preserve">Ценностные ориентации обучающихся 11 классов </w:t>
      </w:r>
    </w:p>
    <w:p w:rsidR="006A7AB3" w:rsidRDefault="006A7AB3" w:rsidP="006A7AB3">
      <w:pPr>
        <w:spacing w:after="0" w:line="256" w:lineRule="auto"/>
        <w:ind w:firstLine="680"/>
        <w:jc w:val="both"/>
        <w:rPr>
          <w:rFonts w:ascii="Times New Roman" w:eastAsia="Calibri" w:hAnsi="Times New Roman" w:cs="Times New Roman"/>
          <w:b/>
          <w:sz w:val="24"/>
          <w:szCs w:val="24"/>
        </w:rPr>
      </w:pPr>
    </w:p>
    <w:tbl>
      <w:tblPr>
        <w:tblW w:w="0" w:type="auto"/>
        <w:tblLook w:val="04A0" w:firstRow="1" w:lastRow="0" w:firstColumn="1" w:lastColumn="0" w:noHBand="0" w:noVBand="1"/>
      </w:tblPr>
      <w:tblGrid>
        <w:gridCol w:w="648"/>
        <w:gridCol w:w="4715"/>
        <w:gridCol w:w="1255"/>
        <w:gridCol w:w="1379"/>
        <w:gridCol w:w="1348"/>
      </w:tblGrid>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Перечень ценностных ориентаций</w:t>
            </w:r>
          </w:p>
        </w:tc>
        <w:tc>
          <w:tcPr>
            <w:tcW w:w="12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75%</w:t>
            </w:r>
          </w:p>
        </w:tc>
        <w:tc>
          <w:tcPr>
            <w:tcW w:w="138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50% и менее</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 (67,86%)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 (32,14%)</w:t>
            </w:r>
          </w:p>
        </w:tc>
        <w:tc>
          <w:tcPr>
            <w:tcW w:w="138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Современный уровень образованности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 (66,07%)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(30,36%)</w:t>
            </w:r>
          </w:p>
        </w:tc>
        <w:tc>
          <w:tcPr>
            <w:tcW w:w="138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(3,57%)</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Ориентация в поликультурном пространстве современности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(30,36%)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 (62,50%)</w:t>
            </w:r>
          </w:p>
        </w:tc>
        <w:tc>
          <w:tcPr>
            <w:tcW w:w="138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(7,14%)</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Признанные достижения в какой-либо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 (35,71%)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 (51,79%)</w:t>
            </w:r>
          </w:p>
        </w:tc>
        <w:tc>
          <w:tcPr>
            <w:tcW w:w="138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(12,50%)</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Взаимопонимание в семье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 (64,29%)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 (33,93%)</w:t>
            </w:r>
          </w:p>
        </w:tc>
        <w:tc>
          <w:tcPr>
            <w:tcW w:w="138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(1,79%)</w:t>
            </w:r>
          </w:p>
        </w:tc>
      </w:tr>
    </w:tbl>
    <w:p w:rsidR="006A7AB3" w:rsidRDefault="006A7AB3" w:rsidP="006A7AB3">
      <w:pPr>
        <w:spacing w:after="160" w:line="256" w:lineRule="auto"/>
        <w:ind w:left="708"/>
        <w:jc w:val="center"/>
        <w:rPr>
          <w:rFonts w:ascii="Times New Roman" w:eastAsia="Calibri" w:hAnsi="Times New Roman" w:cs="Times New Roman"/>
          <w:b/>
          <w:sz w:val="24"/>
          <w:szCs w:val="24"/>
        </w:rPr>
      </w:pP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Как видно из данной таблицы, для 67, 86% выпускников одиннадцатых классов в равной степени важны здоровый образ жизни и современный уровень образованности (66%), примерно такое же количество выпускников 64,29% ценят взаимопонимание в семье. Другие показатели в ценностных ориентациях можно отнести к зоне риска. Это, прежде всего, ориентация в поликультурном пространстве современности, которую полностью не воспринимают как ценность 69,6% респондентов, что говорит о проблемах в социализации выпускников, которым очень скоро нужно будет ориентировать в этом поликультурном пространстве, решая вопросы своего будущего. Определение жизненной перспективы связано и с показателем значимости достижений в какой-либо области. Этот показатель говорит об осознанной пробе сил в разных областях в период обучения.  Для 64% выпускников опыт конкурсных испытаний, соревнований, олимпиад либо отсутствует совсем, либо не был организован таким образом, чтобы вызвать потребность к достижению цели и испытать чувство удовлетворения от признания </w:t>
      </w:r>
      <w:r w:rsidRPr="006A7AB3">
        <w:rPr>
          <w:rFonts w:ascii="Times New Roman" w:eastAsia="Calibri" w:hAnsi="Times New Roman" w:cs="Times New Roman"/>
          <w:sz w:val="28"/>
          <w:szCs w:val="28"/>
        </w:rPr>
        <w:lastRenderedPageBreak/>
        <w:t xml:space="preserve">результатов своей деятельности. Без такого опыта молодой человек не склонен к продуктивной деятельности, к культуросообразному образу жизни. </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ab/>
        <w:t>Анализ сформированных ценностных ориентаций как педагогов, так и выпускников позволяет определиться с приоритетами воспитания, отраженными в целеполагании образовательных организаций как воспитательных систем.</w:t>
      </w:r>
    </w:p>
    <w:p w:rsidR="006A7AB3" w:rsidRPr="006A7AB3" w:rsidRDefault="006A7AB3" w:rsidP="006A7AB3">
      <w:pPr>
        <w:spacing w:after="0"/>
        <w:ind w:firstLine="680"/>
        <w:jc w:val="both"/>
        <w:rPr>
          <w:rFonts w:ascii="Times New Roman" w:eastAsia="Calibri" w:hAnsi="Times New Roman" w:cs="Times New Roman"/>
          <w:sz w:val="28"/>
          <w:szCs w:val="28"/>
        </w:rPr>
      </w:pPr>
    </w:p>
    <w:p w:rsidR="006A7AB3" w:rsidRPr="006A7AB3" w:rsidRDefault="006A7AB3" w:rsidP="006A7AB3">
      <w:pPr>
        <w:numPr>
          <w:ilvl w:val="1"/>
          <w:numId w:val="2"/>
        </w:num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Степень проработанности целей и задач воспитательной системы</w:t>
      </w:r>
    </w:p>
    <w:p w:rsidR="006A7AB3" w:rsidRPr="006A7AB3" w:rsidRDefault="006A7AB3" w:rsidP="006A7AB3">
      <w:pPr>
        <w:spacing w:after="0"/>
        <w:ind w:firstLine="708"/>
        <w:contextualSpacing/>
        <w:jc w:val="center"/>
        <w:rPr>
          <w:rFonts w:ascii="Times New Roman" w:hAnsi="Times New Roman" w:cs="Times New Roman"/>
          <w:b/>
          <w:sz w:val="28"/>
          <w:szCs w:val="28"/>
        </w:rPr>
      </w:pP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По утверждению руководителей 50 школ (89,2%), если вернуться к таблице 2.2., цель проработана ими полностью, а в 6 школах- частично. Анализ представленных формулировок целей воспитательных систем в значительной степени свидетельствует о наличие приоритетов ценностей, которые были выбраны участниками образовательных отношений. Для образовательных организаций важно формировать самостоятельную, ответственную личность, ценятся выбор и культурные традиции, духовность, патриотизм, доброта, творчество и т.д. Однако формулировка целей подаётся как создание условий для развития личности ребенка в 19 (34 %) из 56 школ, участвующих в опросе. В тоже время на этапе становления, как заявили участники мониторинга, находятся лишь 3 организации (5,3 %).</w:t>
      </w:r>
    </w:p>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Важно также, что цели, где говорится о создании условий, либо тождественны друг другу, либо отличаются очень незначительно, либо являются прямой цитатой из методической литературы.</w:t>
      </w:r>
    </w:p>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Цель воспитательной системы должна быть достижима в указанный период времени, конкретна и понятна всем субъектам образовательных отношений и педагогам, и родителям, и обучающимся. К сожалению, такой подход к постановке цели использует незначительная часть участников мониторинга.</w:t>
      </w:r>
    </w:p>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Достижение цели воспитания всегда осуществляется через решение комплекса задач. Задачи позволяют двигаться от достигнутого уровня к следующей ступени развития. Именно поэтому вопрос о проработанности цели воспитательной системы дополнялся вопросами о степени решения воспитательных задач. В мониторинге было важно выяснить, насколько задачи в самых разных образовательных организациях, мобилизуют на достижение значимых для современного человека свойств личности.</w:t>
      </w:r>
    </w:p>
    <w:p w:rsidR="006A7AB3" w:rsidRPr="006A7AB3" w:rsidRDefault="006A7AB3" w:rsidP="006A7AB3">
      <w:pPr>
        <w:spacing w:after="0"/>
        <w:ind w:firstLine="680"/>
        <w:contextualSpacing/>
        <w:jc w:val="both"/>
        <w:rPr>
          <w:rFonts w:ascii="Times New Roman" w:eastAsia="Times New Roman" w:hAnsi="Times New Roman" w:cs="Times New Roman"/>
          <w:b/>
          <w:sz w:val="28"/>
          <w:szCs w:val="28"/>
        </w:rPr>
      </w:pPr>
      <w:r w:rsidRPr="006A7AB3">
        <w:rPr>
          <w:rFonts w:ascii="Times New Roman" w:eastAsia="Times New Roman" w:hAnsi="Times New Roman" w:cs="Times New Roman"/>
          <w:sz w:val="28"/>
          <w:szCs w:val="28"/>
          <w:lang w:eastAsia="ru-RU"/>
        </w:rPr>
        <w:lastRenderedPageBreak/>
        <w:t xml:space="preserve">Ответ на вопрос </w:t>
      </w:r>
      <w:r w:rsidRPr="006A7AB3">
        <w:rPr>
          <w:rFonts w:ascii="Times New Roman" w:eastAsia="Times New Roman" w:hAnsi="Times New Roman" w:cs="Times New Roman"/>
          <w:i/>
          <w:sz w:val="28"/>
          <w:szCs w:val="28"/>
          <w:lang w:eastAsia="ru-RU"/>
        </w:rPr>
        <w:t>«</w:t>
      </w:r>
      <w:r w:rsidRPr="006A7AB3">
        <w:rPr>
          <w:rFonts w:ascii="Times New Roman" w:eastAsia="Times New Roman" w:hAnsi="Times New Roman" w:cs="Times New Roman"/>
          <w:i/>
          <w:sz w:val="28"/>
          <w:szCs w:val="28"/>
        </w:rPr>
        <w:t xml:space="preserve">В какой степени решаются нижеприведенные задачи в воспитательной системе образовательной организации?» </w:t>
      </w:r>
      <w:r w:rsidRPr="006A7AB3">
        <w:rPr>
          <w:rFonts w:ascii="Times New Roman" w:eastAsia="Times New Roman" w:hAnsi="Times New Roman" w:cs="Times New Roman"/>
          <w:sz w:val="28"/>
          <w:szCs w:val="28"/>
        </w:rPr>
        <w:t>представлен в следующей таблице.</w:t>
      </w:r>
    </w:p>
    <w:p w:rsidR="006A7AB3" w:rsidRPr="006A7AB3" w:rsidRDefault="006A7AB3" w:rsidP="006A7AB3">
      <w:pPr>
        <w:numPr>
          <w:ilvl w:val="1"/>
          <w:numId w:val="2"/>
        </w:num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Степень</w:t>
      </w:r>
      <w:r w:rsidRPr="006A7AB3">
        <w:rPr>
          <w:rFonts w:ascii="Times New Roman" w:eastAsia="Times New Roman" w:hAnsi="Times New Roman" w:cs="Times New Roman"/>
          <w:sz w:val="28"/>
          <w:szCs w:val="28"/>
        </w:rPr>
        <w:t xml:space="preserve"> </w:t>
      </w:r>
      <w:r w:rsidRPr="006A7AB3">
        <w:rPr>
          <w:rFonts w:ascii="Times New Roman" w:eastAsia="Times New Roman" w:hAnsi="Times New Roman" w:cs="Times New Roman"/>
          <w:b/>
          <w:sz w:val="28"/>
          <w:szCs w:val="28"/>
        </w:rPr>
        <w:t>решения воспитательных задач</w:t>
      </w:r>
    </w:p>
    <w:p w:rsidR="006A7AB3" w:rsidRPr="006A7AB3" w:rsidRDefault="006A7AB3" w:rsidP="006A7AB3">
      <w:pPr>
        <w:spacing w:after="0" w:line="240" w:lineRule="auto"/>
        <w:ind w:firstLine="680"/>
        <w:contextualSpacing/>
        <w:jc w:val="both"/>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653"/>
        <w:gridCol w:w="3898"/>
        <w:gridCol w:w="1636"/>
        <w:gridCol w:w="1511"/>
        <w:gridCol w:w="1647"/>
      </w:tblGrid>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Задачи</w:t>
            </w:r>
          </w:p>
        </w:tc>
        <w:tc>
          <w:tcPr>
            <w:tcW w:w="16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Полностью</w:t>
            </w:r>
          </w:p>
        </w:tc>
        <w:tc>
          <w:tcPr>
            <w:tcW w:w="153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Частично</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Слабо</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Способствует приобщению к базовым ценностям</w:t>
            </w:r>
          </w:p>
        </w:tc>
        <w:tc>
          <w:tcPr>
            <w:tcW w:w="165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52 (</w:t>
            </w:r>
            <w:r>
              <w:rPr>
                <w:rFonts w:ascii="Times New Roman" w:eastAsia="Times New Roman" w:hAnsi="Times New Roman"/>
                <w:sz w:val="24"/>
                <w:szCs w:val="24"/>
                <w:lang w:eastAsia="ru-RU"/>
              </w:rPr>
              <w:t>92,86%)</w:t>
            </w:r>
          </w:p>
        </w:tc>
        <w:tc>
          <w:tcPr>
            <w:tcW w:w="153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 (</w:t>
            </w:r>
            <w:r>
              <w:rPr>
                <w:rFonts w:ascii="Times New Roman" w:eastAsia="Times New Roman" w:hAnsi="Times New Roman"/>
                <w:sz w:val="24"/>
                <w:szCs w:val="24"/>
                <w:lang w:eastAsia="ru-RU"/>
              </w:rPr>
              <w:t>7,14%)</w:t>
            </w:r>
          </w:p>
        </w:tc>
        <w:tc>
          <w:tcPr>
            <w:tcW w:w="172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Ориентирует на диалог культур в поликультурном пространстве РФ</w:t>
            </w:r>
          </w:p>
        </w:tc>
        <w:tc>
          <w:tcPr>
            <w:tcW w:w="165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Times New Roman" w:hAnsi="Times New Roman"/>
                <w:sz w:val="24"/>
                <w:szCs w:val="24"/>
                <w:lang w:eastAsia="ru-RU"/>
              </w:rPr>
              <w:t>58,93%)</w:t>
            </w:r>
          </w:p>
        </w:tc>
        <w:tc>
          <w:tcPr>
            <w:tcW w:w="153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23 (</w:t>
            </w:r>
            <w:r>
              <w:rPr>
                <w:rFonts w:ascii="Times New Roman" w:eastAsia="Times New Roman" w:hAnsi="Times New Roman"/>
                <w:sz w:val="24"/>
                <w:szCs w:val="24"/>
                <w:lang w:eastAsia="ru-RU"/>
              </w:rPr>
              <w:t>41,07%)</w:t>
            </w:r>
          </w:p>
        </w:tc>
        <w:tc>
          <w:tcPr>
            <w:tcW w:w="172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Знакомит с современными тенденциями общественного развития</w:t>
            </w:r>
          </w:p>
        </w:tc>
        <w:tc>
          <w:tcPr>
            <w:tcW w:w="165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38 (</w:t>
            </w:r>
            <w:r>
              <w:rPr>
                <w:rFonts w:ascii="Times New Roman" w:eastAsia="Times New Roman" w:hAnsi="Times New Roman"/>
                <w:sz w:val="24"/>
                <w:szCs w:val="24"/>
                <w:lang w:eastAsia="ru-RU"/>
              </w:rPr>
              <w:t>67,86%)</w:t>
            </w:r>
          </w:p>
        </w:tc>
        <w:tc>
          <w:tcPr>
            <w:tcW w:w="153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18 (</w:t>
            </w:r>
            <w:r>
              <w:rPr>
                <w:rFonts w:ascii="Times New Roman" w:eastAsia="Times New Roman" w:hAnsi="Times New Roman"/>
                <w:sz w:val="24"/>
                <w:szCs w:val="24"/>
                <w:lang w:eastAsia="ru-RU"/>
              </w:rPr>
              <w:t>32,14%)</w:t>
            </w:r>
          </w:p>
        </w:tc>
        <w:tc>
          <w:tcPr>
            <w:tcW w:w="172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Ориентирует на достоверное  научное знание  </w:t>
            </w:r>
          </w:p>
        </w:tc>
        <w:tc>
          <w:tcPr>
            <w:tcW w:w="165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40 (</w:t>
            </w:r>
            <w:r>
              <w:rPr>
                <w:rFonts w:ascii="Times New Roman" w:eastAsia="Times New Roman" w:hAnsi="Times New Roman"/>
                <w:sz w:val="24"/>
                <w:szCs w:val="24"/>
                <w:lang w:eastAsia="ru-RU"/>
              </w:rPr>
              <w:t>71,43%)</w:t>
            </w:r>
          </w:p>
        </w:tc>
        <w:tc>
          <w:tcPr>
            <w:tcW w:w="153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15 (</w:t>
            </w:r>
            <w:r>
              <w:rPr>
                <w:rFonts w:ascii="Times New Roman" w:eastAsia="Times New Roman" w:hAnsi="Times New Roman"/>
                <w:sz w:val="24"/>
                <w:szCs w:val="24"/>
                <w:lang w:eastAsia="ru-RU"/>
              </w:rPr>
              <w:t>26,79%)</w:t>
            </w:r>
          </w:p>
        </w:tc>
        <w:tc>
          <w:tcPr>
            <w:tcW w:w="172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w:t>
            </w:r>
            <w:r>
              <w:rPr>
                <w:rFonts w:ascii="Times New Roman" w:eastAsia="Times New Roman" w:hAnsi="Times New Roman"/>
                <w:sz w:val="24"/>
                <w:szCs w:val="24"/>
                <w:lang w:eastAsia="ru-RU"/>
              </w:rPr>
              <w:t>1,79%)</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Помогает ориентироваться в современном информационном пространстве</w:t>
            </w:r>
          </w:p>
        </w:tc>
        <w:tc>
          <w:tcPr>
            <w:tcW w:w="165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46 (</w:t>
            </w:r>
            <w:r>
              <w:rPr>
                <w:rFonts w:ascii="Times New Roman" w:eastAsia="Times New Roman" w:hAnsi="Times New Roman"/>
                <w:sz w:val="24"/>
                <w:szCs w:val="24"/>
                <w:lang w:eastAsia="ru-RU"/>
              </w:rPr>
              <w:t>82,14%)</w:t>
            </w:r>
          </w:p>
        </w:tc>
        <w:tc>
          <w:tcPr>
            <w:tcW w:w="153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10 (17,86%)</w:t>
            </w:r>
          </w:p>
        </w:tc>
        <w:tc>
          <w:tcPr>
            <w:tcW w:w="172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bl>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 xml:space="preserve">Как считает большинство участников мониторинга – 92,8%, в воспитательных системах образовательных организаций отдано предпочтение решению задачи приобщения учащихся к базовым ценностям, 82% считают, что решение воспитательных задач обеспечивает ориентацию в современном информационном пространстве, 71,4% утверждают, что они ориентируют на достоверное научное знание.    </w:t>
      </w:r>
    </w:p>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Ответы на этот вопрос показывают, что самой сложной для всех участников мониторинга, оказалась задача ориентации школьников на диалог культур в поликультурном пространстве РФ.  В «Концепции духовно-нравственного развития личности и воспитания гражданина России» культуре отводится важнейшее место, она призвана стать основой мира в многонациональном государстве. Несмотря на то, что с момента появления этой Концепции как методологической основы ФГОС, школы не накопили достаточного опыта решения этой задачи, 23 школы (41 %) могут решать её только частично.</w:t>
      </w:r>
    </w:p>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 xml:space="preserve">Второй по сложности стала задача, решение которой должно помочь школьникам знакомиться с современными тенденциями общественного развития. В «Стратегии воспитания в РФ до 2020 года» особо выделена задача формирования политической культуры. Для 18 школ (32 %) эта задача остаётся сложной для качественного решения, она, действительно, предполагает проработку современных форм воспитания на каждой возрастной ступени, без её решения невозможно говорить о социализации школьников. Эта задача тесно связана с задачей овладения умениями </w:t>
      </w:r>
      <w:r w:rsidRPr="006A7AB3">
        <w:rPr>
          <w:rFonts w:ascii="Times New Roman" w:eastAsia="Times New Roman" w:hAnsi="Times New Roman" w:cs="Times New Roman"/>
          <w:sz w:val="28"/>
          <w:szCs w:val="28"/>
          <w:lang w:eastAsia="ru-RU"/>
        </w:rPr>
        <w:lastRenderedPageBreak/>
        <w:t>ориентироваться в современном информационном пространстве. Ответы на эти вопросы связаны между собой. В информационном пространстве подросток может получить огромное множество недостоверных, примитивных и даже вульгарных сведений. Овладение разными компьютерными программами не означает способности ориентироваться в информационном пространстве. Выбор программ в интернете определяется ценностной основой личности.</w:t>
      </w:r>
    </w:p>
    <w:p w:rsidR="006A7AB3" w:rsidRPr="006A7AB3" w:rsidRDefault="006A7AB3" w:rsidP="006A7AB3">
      <w:pPr>
        <w:numPr>
          <w:ilvl w:val="0"/>
          <w:numId w:val="2"/>
        </w:numPr>
        <w:spacing w:after="0"/>
        <w:contextualSpacing/>
        <w:jc w:val="center"/>
        <w:rPr>
          <w:rFonts w:ascii="Times New Roman" w:eastAsia="Times New Roman" w:hAnsi="Times New Roman" w:cs="Times New Roman"/>
          <w:b/>
          <w:sz w:val="28"/>
          <w:szCs w:val="28"/>
          <w:lang w:eastAsia="ru-RU"/>
        </w:rPr>
      </w:pPr>
      <w:r w:rsidRPr="006A7AB3">
        <w:rPr>
          <w:rFonts w:ascii="Times New Roman" w:eastAsia="Times New Roman" w:hAnsi="Times New Roman" w:cs="Times New Roman"/>
          <w:b/>
          <w:sz w:val="28"/>
          <w:szCs w:val="28"/>
          <w:lang w:eastAsia="ru-RU"/>
        </w:rPr>
        <w:t>Анализ второго блока компонентов воспитательной системы</w:t>
      </w:r>
    </w:p>
    <w:p w:rsidR="006A7AB3" w:rsidRPr="006A7AB3" w:rsidRDefault="006A7AB3" w:rsidP="006A7AB3">
      <w:pPr>
        <w:spacing w:after="0"/>
        <w:ind w:firstLine="709"/>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Второй блок компонентов воспитательной системы включает формы организации воспитательной деятельности. Качественное состояние этого блока определяется характером взаимосвязей внутреннего и внешнего подкрепления элементов системы. Важное место в оценке занимает соответствие имеющихся в системе форм организации воспитательной деятельности возрастным особенностям обучающихся.</w:t>
      </w:r>
    </w:p>
    <w:p w:rsidR="006A7AB3" w:rsidRPr="006A7AB3" w:rsidRDefault="006A7AB3" w:rsidP="006A7AB3">
      <w:pPr>
        <w:spacing w:after="0"/>
        <w:ind w:firstLine="709"/>
        <w:contextualSpacing/>
        <w:jc w:val="both"/>
        <w:rPr>
          <w:rFonts w:ascii="Times New Roman" w:eastAsia="Times New Roman" w:hAnsi="Times New Roman" w:cs="Times New Roman"/>
          <w:sz w:val="28"/>
          <w:szCs w:val="28"/>
          <w:lang w:eastAsia="ru-RU"/>
        </w:rPr>
      </w:pPr>
    </w:p>
    <w:p w:rsidR="006A7AB3" w:rsidRPr="006A7AB3" w:rsidRDefault="006A7AB3" w:rsidP="006A7AB3">
      <w:pPr>
        <w:numPr>
          <w:ilvl w:val="1"/>
          <w:numId w:val="2"/>
        </w:numPr>
        <w:spacing w:after="0"/>
        <w:contextualSpacing/>
        <w:jc w:val="center"/>
        <w:rPr>
          <w:rFonts w:ascii="Times New Roman" w:eastAsia="Times New Roman" w:hAnsi="Times New Roman" w:cs="Times New Roman"/>
          <w:b/>
          <w:sz w:val="28"/>
          <w:szCs w:val="28"/>
          <w:lang w:eastAsia="ru-RU"/>
        </w:rPr>
      </w:pPr>
      <w:r w:rsidRPr="006A7AB3">
        <w:rPr>
          <w:rFonts w:ascii="Times New Roman" w:eastAsia="Times New Roman" w:hAnsi="Times New Roman" w:cs="Times New Roman"/>
          <w:b/>
          <w:sz w:val="28"/>
          <w:szCs w:val="28"/>
          <w:lang w:eastAsia="ru-RU"/>
        </w:rPr>
        <w:t>Приоритетные виды и формы воспитательной деятельности</w:t>
      </w:r>
    </w:p>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Воспитательная система образовательной организации создаётся, функционирует и развивается в условиях реализации ФГОС, а, значит, концептуальной основой является системно-деятельностный подход. Уже само определение подхода говорит о необходимости системы в выборе организационных форм разных видов деятельности.</w:t>
      </w:r>
      <w:r>
        <w:rPr>
          <w:rFonts w:ascii="Times New Roman" w:eastAsia="Times New Roman" w:hAnsi="Times New Roman" w:cs="Times New Roman"/>
          <w:sz w:val="24"/>
          <w:szCs w:val="24"/>
          <w:lang w:eastAsia="ru-RU"/>
        </w:rPr>
        <w:t xml:space="preserve"> </w:t>
      </w:r>
      <w:r w:rsidRPr="006A7AB3">
        <w:rPr>
          <w:rFonts w:ascii="Times New Roman" w:eastAsia="Times New Roman" w:hAnsi="Times New Roman" w:cs="Times New Roman"/>
          <w:sz w:val="28"/>
          <w:szCs w:val="28"/>
          <w:lang w:eastAsia="ru-RU"/>
        </w:rPr>
        <w:t xml:space="preserve">Достижение целей воспитания обеспечивается возможностью выбора форм, которые бы отвечали потребностям возрастного развития. </w:t>
      </w:r>
    </w:p>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t>Исходными данными для анализа являются ответы респондентов о том, что проработанность комплекса воспитывающей деятельности осуществлена полностью в 41 школе (73,2 %) и частично в 15 (26,8 %) школах.</w:t>
      </w:r>
    </w:p>
    <w:p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Количество обучающихся, задействованных в разных формах организации воспитательной деятельности</w:t>
      </w:r>
    </w:p>
    <w:p w:rsidR="006A7AB3" w:rsidRDefault="006A7AB3" w:rsidP="006A7AB3">
      <w:pPr>
        <w:spacing w:after="0" w:line="240" w:lineRule="auto"/>
        <w:ind w:left="360"/>
        <w:contextualSpacing/>
        <w:jc w:val="center"/>
        <w:rPr>
          <w:rFonts w:ascii="Times New Roman" w:eastAsia="Times New Roman" w:hAnsi="Times New Roman" w:cs="Times New Roman"/>
          <w:b/>
          <w:sz w:val="24"/>
          <w:szCs w:val="24"/>
        </w:rPr>
      </w:pPr>
    </w:p>
    <w:tbl>
      <w:tblPr>
        <w:tblW w:w="0" w:type="auto"/>
        <w:tblInd w:w="142" w:type="dxa"/>
        <w:tblLook w:val="04A0" w:firstRow="1" w:lastRow="0" w:firstColumn="1" w:lastColumn="0" w:noHBand="0" w:noVBand="1"/>
      </w:tblPr>
      <w:tblGrid>
        <w:gridCol w:w="2688"/>
        <w:gridCol w:w="2197"/>
        <w:gridCol w:w="2171"/>
        <w:gridCol w:w="2147"/>
      </w:tblGrid>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Формы организации</w:t>
            </w:r>
          </w:p>
        </w:tc>
        <w:tc>
          <w:tcPr>
            <w:tcW w:w="2197"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Начальная школа</w:t>
            </w:r>
          </w:p>
          <w:p w:rsidR="006A7AB3" w:rsidRDefault="006A7AB3">
            <w:pPr>
              <w:spacing w:after="0" w:line="240" w:lineRule="auto"/>
              <w:jc w:val="center"/>
              <w:rPr>
                <w:rFonts w:ascii="Times New Roman" w:hAnsi="Times New Roman"/>
                <w:b/>
                <w:sz w:val="24"/>
                <w:szCs w:val="24"/>
              </w:rPr>
            </w:pPr>
          </w:p>
        </w:tc>
        <w:tc>
          <w:tcPr>
            <w:tcW w:w="2171"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Основная школа</w:t>
            </w:r>
          </w:p>
          <w:p w:rsidR="006A7AB3" w:rsidRDefault="006A7AB3">
            <w:pPr>
              <w:spacing w:after="0" w:line="240" w:lineRule="auto"/>
              <w:jc w:val="center"/>
              <w:rPr>
                <w:rFonts w:ascii="Times New Roman" w:hAnsi="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Средняя школа</w:t>
            </w:r>
          </w:p>
          <w:p w:rsidR="006A7AB3" w:rsidRDefault="006A7AB3">
            <w:pPr>
              <w:spacing w:after="0" w:line="240" w:lineRule="auto"/>
              <w:jc w:val="center"/>
              <w:rPr>
                <w:rFonts w:ascii="Times New Roman" w:hAnsi="Times New Roman"/>
                <w:b/>
                <w:sz w:val="24"/>
                <w:szCs w:val="24"/>
              </w:rPr>
            </w:pPr>
          </w:p>
        </w:tc>
      </w:tr>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Класс</w:t>
            </w:r>
          </w:p>
        </w:tc>
        <w:tc>
          <w:tcPr>
            <w:tcW w:w="219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10265</w:t>
            </w:r>
          </w:p>
        </w:tc>
        <w:tc>
          <w:tcPr>
            <w:tcW w:w="217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12426</w:t>
            </w:r>
          </w:p>
        </w:tc>
        <w:tc>
          <w:tcPr>
            <w:tcW w:w="214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2156</w:t>
            </w:r>
          </w:p>
        </w:tc>
      </w:tr>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Кружок</w:t>
            </w:r>
          </w:p>
        </w:tc>
        <w:tc>
          <w:tcPr>
            <w:tcW w:w="219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6222</w:t>
            </w:r>
          </w:p>
        </w:tc>
        <w:tc>
          <w:tcPr>
            <w:tcW w:w="217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6618</w:t>
            </w:r>
          </w:p>
        </w:tc>
        <w:tc>
          <w:tcPr>
            <w:tcW w:w="214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1109</w:t>
            </w:r>
          </w:p>
        </w:tc>
      </w:tr>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Клуб</w:t>
            </w:r>
          </w:p>
        </w:tc>
        <w:tc>
          <w:tcPr>
            <w:tcW w:w="219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1572</w:t>
            </w:r>
          </w:p>
        </w:tc>
        <w:tc>
          <w:tcPr>
            <w:tcW w:w="217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2725</w:t>
            </w:r>
          </w:p>
        </w:tc>
        <w:tc>
          <w:tcPr>
            <w:tcW w:w="214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522</w:t>
            </w:r>
          </w:p>
        </w:tc>
      </w:tr>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Секция</w:t>
            </w:r>
          </w:p>
        </w:tc>
        <w:tc>
          <w:tcPr>
            <w:tcW w:w="219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2193</w:t>
            </w:r>
          </w:p>
        </w:tc>
        <w:tc>
          <w:tcPr>
            <w:tcW w:w="217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3395</w:t>
            </w:r>
          </w:p>
        </w:tc>
        <w:tc>
          <w:tcPr>
            <w:tcW w:w="214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678</w:t>
            </w:r>
          </w:p>
        </w:tc>
      </w:tr>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Детское творческое объединение ДОД</w:t>
            </w:r>
          </w:p>
        </w:tc>
        <w:tc>
          <w:tcPr>
            <w:tcW w:w="219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2055</w:t>
            </w:r>
          </w:p>
        </w:tc>
        <w:tc>
          <w:tcPr>
            <w:tcW w:w="217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451</w:t>
            </w:r>
          </w:p>
        </w:tc>
        <w:tc>
          <w:tcPr>
            <w:tcW w:w="214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w:t>
            </w:r>
          </w:p>
        </w:tc>
      </w:tr>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Детские общественные объединения</w:t>
            </w:r>
          </w:p>
        </w:tc>
        <w:tc>
          <w:tcPr>
            <w:tcW w:w="219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717</w:t>
            </w:r>
          </w:p>
        </w:tc>
        <w:tc>
          <w:tcPr>
            <w:tcW w:w="217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1475</w:t>
            </w:r>
          </w:p>
        </w:tc>
        <w:tc>
          <w:tcPr>
            <w:tcW w:w="214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396</w:t>
            </w:r>
          </w:p>
        </w:tc>
      </w:tr>
      <w:tr w:rsidR="006A7AB3" w:rsidTr="006A7AB3">
        <w:tc>
          <w:tcPr>
            <w:tcW w:w="26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Музей</w:t>
            </w:r>
          </w:p>
        </w:tc>
        <w:tc>
          <w:tcPr>
            <w:tcW w:w="2197"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818</w:t>
            </w:r>
          </w:p>
        </w:tc>
        <w:tc>
          <w:tcPr>
            <w:tcW w:w="2171"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1414</w:t>
            </w:r>
          </w:p>
        </w:tc>
        <w:tc>
          <w:tcPr>
            <w:tcW w:w="2147"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309</w:t>
            </w:r>
          </w:p>
        </w:tc>
      </w:tr>
    </w:tbl>
    <w:p w:rsidR="006A7AB3" w:rsidRPr="006A7AB3" w:rsidRDefault="006A7AB3" w:rsidP="006A7AB3">
      <w:pPr>
        <w:spacing w:after="16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lastRenderedPageBreak/>
        <w:t xml:space="preserve">Как видно из анализа данных таблицы, на всех уровнях общего образования представлены различные формы организации воспитательной деятельности. В начальной школе приоритетны детские творческие объединения системы дополнительного образования детей. В них занимаются 2055 учащихся, против 451- на уровне основного и 301 - на уровне среднего общего образования. В системе внеурочной деятельности в форме кружковой работы пальма первенства у учащихся основной школы – 6618 человек. Клубная форма также приоритетна для этого уровня образования, что вполне обосновано, учитывая специфику возраста.   </w:t>
      </w:r>
    </w:p>
    <w:p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Количество обучающихся, задействованных в разных формах организации воспитательной деятельности, в школах разных поселений</w:t>
      </w:r>
    </w:p>
    <w:p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p>
    <w:tbl>
      <w:tblPr>
        <w:tblW w:w="0" w:type="auto"/>
        <w:tblInd w:w="142" w:type="dxa"/>
        <w:tblLook w:val="04A0" w:firstRow="1" w:lastRow="0" w:firstColumn="1" w:lastColumn="0" w:noHBand="0" w:noVBand="1"/>
      </w:tblPr>
      <w:tblGrid>
        <w:gridCol w:w="1187"/>
        <w:gridCol w:w="1005"/>
        <w:gridCol w:w="843"/>
        <w:gridCol w:w="824"/>
        <w:gridCol w:w="1005"/>
        <w:gridCol w:w="843"/>
        <w:gridCol w:w="824"/>
        <w:gridCol w:w="1005"/>
        <w:gridCol w:w="843"/>
        <w:gridCol w:w="824"/>
      </w:tblGrid>
      <w:tr w:rsidR="006A7AB3" w:rsidTr="006A7AB3">
        <w:tc>
          <w:tcPr>
            <w:tcW w:w="1258"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0"/>
                <w:szCs w:val="20"/>
              </w:rPr>
            </w:pPr>
          </w:p>
        </w:tc>
        <w:tc>
          <w:tcPr>
            <w:tcW w:w="2819"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2818"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2818"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 %</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Формы организации</w:t>
            </w:r>
          </w:p>
        </w:tc>
        <w:tc>
          <w:tcPr>
            <w:tcW w:w="106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Начальная школа</w:t>
            </w:r>
          </w:p>
        </w:tc>
        <w:tc>
          <w:tcPr>
            <w:tcW w:w="8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18"/>
                <w:szCs w:val="20"/>
              </w:rPr>
            </w:pPr>
            <w:r>
              <w:rPr>
                <w:rFonts w:ascii="Times New Roman" w:hAnsi="Times New Roman"/>
                <w:b/>
                <w:sz w:val="18"/>
                <w:szCs w:val="20"/>
              </w:rPr>
              <w:t>Основная школа</w:t>
            </w:r>
          </w:p>
        </w:tc>
        <w:tc>
          <w:tcPr>
            <w:tcW w:w="8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Средняя школа</w:t>
            </w:r>
          </w:p>
        </w:tc>
        <w:tc>
          <w:tcPr>
            <w:tcW w:w="106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Начальная школа</w:t>
            </w:r>
          </w:p>
        </w:tc>
        <w:tc>
          <w:tcPr>
            <w:tcW w:w="8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18"/>
                <w:szCs w:val="20"/>
              </w:rPr>
            </w:pPr>
            <w:r>
              <w:rPr>
                <w:rFonts w:ascii="Times New Roman" w:hAnsi="Times New Roman"/>
                <w:b/>
                <w:sz w:val="18"/>
                <w:szCs w:val="20"/>
              </w:rPr>
              <w:t>Основная школа</w:t>
            </w:r>
          </w:p>
        </w:tc>
        <w:tc>
          <w:tcPr>
            <w:tcW w:w="8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Средняя школа</w:t>
            </w:r>
          </w:p>
        </w:tc>
        <w:tc>
          <w:tcPr>
            <w:tcW w:w="106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Начальная школа</w:t>
            </w:r>
          </w:p>
        </w:tc>
        <w:tc>
          <w:tcPr>
            <w:tcW w:w="88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18"/>
                <w:szCs w:val="20"/>
              </w:rPr>
            </w:pPr>
            <w:r>
              <w:rPr>
                <w:rFonts w:ascii="Times New Roman" w:hAnsi="Times New Roman"/>
                <w:b/>
                <w:sz w:val="18"/>
                <w:szCs w:val="20"/>
              </w:rPr>
              <w:t>Основная школа</w:t>
            </w:r>
          </w:p>
        </w:tc>
        <w:tc>
          <w:tcPr>
            <w:tcW w:w="8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0"/>
                <w:szCs w:val="20"/>
              </w:rPr>
            </w:pPr>
            <w:r>
              <w:rPr>
                <w:rFonts w:ascii="Times New Roman" w:hAnsi="Times New Roman"/>
                <w:b/>
                <w:sz w:val="20"/>
                <w:szCs w:val="20"/>
              </w:rPr>
              <w:t>Средняя школа</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Класс</w:t>
            </w:r>
          </w:p>
        </w:tc>
        <w:tc>
          <w:tcPr>
            <w:tcW w:w="106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1138</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1517</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218</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2518</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2486</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505</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6609</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8423</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1433</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Кружок</w:t>
            </w:r>
          </w:p>
        </w:tc>
        <w:tc>
          <w:tcPr>
            <w:tcW w:w="106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1012</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1008</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127</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1490</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1246</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309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3720</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4364</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673</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Клуб</w:t>
            </w:r>
          </w:p>
        </w:tc>
        <w:tc>
          <w:tcPr>
            <w:tcW w:w="106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488</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647</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69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631</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699</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106</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453</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1379</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347</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Секция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360</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610</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90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593</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701</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141</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1240</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2084</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447</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Детское творческое объединение ДОД</w:t>
            </w:r>
          </w:p>
        </w:tc>
        <w:tc>
          <w:tcPr>
            <w:tcW w:w="106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264</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90</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59</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273</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21</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14</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1518</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340</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228</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Детские общественные объединения</w:t>
            </w:r>
          </w:p>
        </w:tc>
        <w:tc>
          <w:tcPr>
            <w:tcW w:w="106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235</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517</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76</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87</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250</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80</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395</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708</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240</w:t>
            </w:r>
          </w:p>
        </w:tc>
      </w:tr>
      <w:tr w:rsidR="006A7AB3" w:rsidTr="006A7AB3">
        <w:tc>
          <w:tcPr>
            <w:tcW w:w="125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Музей</w:t>
            </w:r>
          </w:p>
        </w:tc>
        <w:tc>
          <w:tcPr>
            <w:tcW w:w="106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161</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243</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47</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160</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254</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23</w:t>
            </w:r>
          </w:p>
        </w:tc>
        <w:tc>
          <w:tcPr>
            <w:tcW w:w="106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497</w:t>
            </w:r>
          </w:p>
        </w:tc>
        <w:tc>
          <w:tcPr>
            <w:tcW w:w="88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917</w:t>
            </w:r>
          </w:p>
        </w:tc>
        <w:tc>
          <w:tcPr>
            <w:tcW w:w="86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right"/>
              <w:rPr>
                <w:rFonts w:ascii="Arial" w:hAnsi="Arial" w:cs="Arial"/>
                <w:sz w:val="20"/>
                <w:szCs w:val="20"/>
              </w:rPr>
            </w:pPr>
            <w:r>
              <w:rPr>
                <w:rFonts w:ascii="Arial" w:hAnsi="Arial" w:cs="Arial"/>
                <w:sz w:val="20"/>
                <w:szCs w:val="20"/>
              </w:rPr>
              <w:t>239</w:t>
            </w:r>
          </w:p>
        </w:tc>
      </w:tr>
    </w:tbl>
    <w:p w:rsidR="006A7AB3" w:rsidRDefault="006A7AB3" w:rsidP="006A7AB3">
      <w:pPr>
        <w:spacing w:after="160" w:line="256" w:lineRule="auto"/>
        <w:jc w:val="center"/>
        <w:rPr>
          <w:rFonts w:ascii="Times New Roman" w:eastAsia="Calibri" w:hAnsi="Times New Roman" w:cs="Times New Roman"/>
          <w:sz w:val="24"/>
          <w:szCs w:val="24"/>
        </w:rPr>
      </w:pP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Анализ данной таблицы подтверждает, что обобщённые количественные данные по образовательным организациям, расположенным в разных типах поселений, позволяют утверждать, что на всех уровнях образования, самый многочисленный состав имеет кружковая форма работы, причем здесь лидируют школы города. Эта форма свойственна первоначальному этапу накопления опыта деятельности в какой-либо области, ребёнок на этом этапе занимает репродуктивную позицию, осваивая азы необходимых компетенций. Накопление опыта предполагает усложнение форм организации, однако кружок представлен самой востребованной формой, если судить по количеству участников кружковой формы организации деятельности. К сожалению, по данным мониторинга на уровне </w:t>
      </w:r>
      <w:r w:rsidRPr="006A7AB3">
        <w:rPr>
          <w:rFonts w:ascii="Times New Roman" w:eastAsia="Calibri" w:hAnsi="Times New Roman" w:cs="Times New Roman"/>
          <w:sz w:val="28"/>
          <w:szCs w:val="28"/>
        </w:rPr>
        <w:lastRenderedPageBreak/>
        <w:t xml:space="preserve">первичного освоения деятельности в средней школе из 2156 обучающихся оказалось 1109 человек (50, 8%). </w:t>
      </w: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Количество обучающихся вовлечённых в спортивные секции коррелирует с признанием здорового образа жизни как ценности. Значительное число участников в спортивных секциях сохраняется на всех ступенях образования.</w:t>
      </w:r>
    </w:p>
    <w:p w:rsidR="006A7AB3" w:rsidRPr="006A7AB3" w:rsidRDefault="006A7AB3" w:rsidP="006A7AB3">
      <w:pPr>
        <w:spacing w:after="0" w:line="360" w:lineRule="auto"/>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Позитивна тенденция сохранения контингента в творческих объединениях.</w:t>
      </w: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Уточнения требуют данные о наличии клубов. В данном мониторинге не уточнялось содержание деятельности клубов, однако эта форма организации воспитательной деятельности достаточно трудоёмка, требует ресурсного обеспечения. Наличие клубов на всех ступенях образования важный позитивный показатель, который нуждается в специальном изучении. </w:t>
      </w: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Как дополнительные формы организации воспитательной деятельности школы отнесли несколько форм, отражающих специфику их воспитательной системы.</w:t>
      </w:r>
    </w:p>
    <w:p w:rsidR="006A7AB3" w:rsidRPr="006A7AB3" w:rsidRDefault="006A7AB3" w:rsidP="006A7AB3">
      <w:pPr>
        <w:spacing w:after="0"/>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Дополнительные данные</w:t>
      </w:r>
    </w:p>
    <w:p w:rsidR="006A7AB3" w:rsidRPr="006A7AB3" w:rsidRDefault="006A7AB3" w:rsidP="006A7AB3">
      <w:pPr>
        <w:spacing w:after="0"/>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 xml:space="preserve"> по формам организации воспитательной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3402"/>
      </w:tblGrid>
      <w:tr w:rsidR="006A7AB3" w:rsidTr="006A7AB3">
        <w:trPr>
          <w:trHeight w:val="315"/>
        </w:trPr>
        <w:tc>
          <w:tcPr>
            <w:tcW w:w="2689" w:type="dxa"/>
            <w:tcBorders>
              <w:top w:val="single" w:sz="4" w:space="0" w:color="auto"/>
              <w:left w:val="single" w:sz="4" w:space="0" w:color="auto"/>
              <w:bottom w:val="single" w:sz="4" w:space="0" w:color="auto"/>
              <w:right w:val="single" w:sz="4" w:space="0" w:color="auto"/>
            </w:tcBorders>
            <w:noWrap/>
            <w:hideMark/>
          </w:tcPr>
          <w:p w:rsidR="006A7AB3" w:rsidRDefault="006A7AB3">
            <w:pPr>
              <w:spacing w:after="16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школа</w:t>
            </w:r>
          </w:p>
        </w:tc>
        <w:tc>
          <w:tcPr>
            <w:tcW w:w="3260" w:type="dxa"/>
            <w:tcBorders>
              <w:top w:val="single" w:sz="4" w:space="0" w:color="auto"/>
              <w:left w:val="single" w:sz="4" w:space="0" w:color="auto"/>
              <w:bottom w:val="single" w:sz="4" w:space="0" w:color="auto"/>
              <w:right w:val="single" w:sz="4" w:space="0" w:color="auto"/>
            </w:tcBorders>
            <w:noWrap/>
            <w:hideMark/>
          </w:tcPr>
          <w:p w:rsidR="006A7AB3" w:rsidRDefault="006A7AB3">
            <w:pPr>
              <w:spacing w:after="16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Основная школа</w:t>
            </w:r>
          </w:p>
        </w:tc>
        <w:tc>
          <w:tcPr>
            <w:tcW w:w="3402" w:type="dxa"/>
            <w:tcBorders>
              <w:top w:val="single" w:sz="4" w:space="0" w:color="auto"/>
              <w:left w:val="single" w:sz="4" w:space="0" w:color="auto"/>
              <w:bottom w:val="single" w:sz="4" w:space="0" w:color="auto"/>
              <w:right w:val="single" w:sz="4" w:space="0" w:color="auto"/>
            </w:tcBorders>
            <w:noWrap/>
            <w:hideMark/>
          </w:tcPr>
          <w:p w:rsidR="006A7AB3" w:rsidRDefault="006A7AB3">
            <w:pPr>
              <w:spacing w:after="16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Средняя школа</w:t>
            </w:r>
          </w:p>
        </w:tc>
      </w:tr>
      <w:tr w:rsidR="006A7AB3"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ШНО "Совенок"-25</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ШНО "Совенок"-13</w:t>
            </w:r>
          </w:p>
        </w:tc>
      </w:tr>
      <w:tr w:rsidR="006A7AB3"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внеурочной деятельности -94</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внеурочной деятельности-93</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внеурочной деятельности -27</w:t>
            </w:r>
          </w:p>
        </w:tc>
      </w:tr>
      <w:tr w:rsidR="006A7AB3"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tcPr>
          <w:p w:rsidR="006A7AB3" w:rsidRDefault="006A7AB3">
            <w:pPr>
              <w:spacing w:after="0" w:line="240" w:lineRule="auto"/>
              <w:rPr>
                <w:rFonts w:ascii="Times New Roman" w:eastAsia="Times New Roman" w:hAnsi="Times New Roman" w:cs="Times New Roman"/>
                <w:sz w:val="24"/>
                <w:szCs w:val="24"/>
                <w:lang w:eastAsia="ru-RU"/>
              </w:rPr>
            </w:pPr>
          </w:p>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Ломоносовская Академия естественных наук и искусств (ЛАЕНК)  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Школьное лесничество 22 ЛАЕНК 0</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Школьное лесничество 0  ЛАЕНК 25</w:t>
            </w:r>
          </w:p>
        </w:tc>
      </w:tr>
      <w:tr w:rsidR="006A7AB3"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Поисковый отряд -20</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Поисковый отряд -5</w:t>
            </w:r>
          </w:p>
        </w:tc>
      </w:tr>
      <w:tr w:rsidR="006A7AB3" w:rsidTr="006A7AB3">
        <w:trPr>
          <w:trHeight w:val="31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РДШ</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РДШ</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РДШ</w:t>
            </w:r>
          </w:p>
        </w:tc>
      </w:tr>
      <w:tr w:rsidR="006A7AB3"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ЮИД-10, ДЮП-10</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rPr>
                <w:rFonts w:ascii="Times New Roman" w:eastAsia="Times New Roman" w:hAnsi="Times New Roman" w:cs="Times New Roman"/>
                <w:sz w:val="24"/>
                <w:szCs w:val="24"/>
                <w:lang w:eastAsia="ru-RU"/>
              </w:rPr>
            </w:pPr>
          </w:p>
        </w:tc>
      </w:tr>
      <w:tr w:rsidR="006A7AB3"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- 360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- 381</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- 60</w:t>
            </w:r>
          </w:p>
        </w:tc>
      </w:tr>
      <w:tr w:rsidR="006A7AB3"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101</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-101</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-17</w:t>
            </w:r>
          </w:p>
        </w:tc>
      </w:tr>
      <w:tr w:rsidR="006A7AB3"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 (Волонтерское движение "Чистый Сертолово")</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(Волонтерское движение "Чистый Сертолово")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(Волонтерское движение "Чистый Сертолово")</w:t>
            </w:r>
          </w:p>
        </w:tc>
      </w:tr>
      <w:tr w:rsidR="006A7AB3" w:rsidTr="006A7AB3">
        <w:trPr>
          <w:trHeight w:val="255"/>
        </w:trPr>
        <w:tc>
          <w:tcPr>
            <w:tcW w:w="2689"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Детское движение "Юная Россия"</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Ученическое самоуправление "Земляне"</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Ученическое самоуправление "Земляне"</w:t>
            </w:r>
          </w:p>
        </w:tc>
      </w:tr>
    </w:tbl>
    <w:p w:rsidR="006A7AB3" w:rsidRPr="006A7AB3" w:rsidRDefault="006A7AB3" w:rsidP="006A7AB3">
      <w:pPr>
        <w:spacing w:after="0"/>
        <w:ind w:firstLine="708"/>
        <w:contextualSpacing/>
        <w:jc w:val="both"/>
        <w:rPr>
          <w:rFonts w:ascii="Times New Roman" w:eastAsia="Times New Roman" w:hAnsi="Times New Roman" w:cs="Times New Roman"/>
          <w:sz w:val="28"/>
          <w:szCs w:val="28"/>
          <w:lang w:eastAsia="ru-RU"/>
        </w:rPr>
      </w:pPr>
      <w:r w:rsidRPr="006A7AB3">
        <w:rPr>
          <w:rFonts w:ascii="Times New Roman" w:eastAsia="Times New Roman" w:hAnsi="Times New Roman" w:cs="Times New Roman"/>
          <w:sz w:val="28"/>
          <w:szCs w:val="28"/>
          <w:lang w:eastAsia="ru-RU"/>
        </w:rPr>
        <w:lastRenderedPageBreak/>
        <w:t xml:space="preserve"> Примечательно, что в качестве дополнительных данных названы курсы внеурочной деятельности и её отдельные формы.  Это приводит к мысли о том, что направление «внеурочная деятельность» и формы её реализации, в том числе кружок, школьное лесничество, поисковый отряд, научное общество и т.д. смешиваются, у руководителей школ не сформировано четкое представление об организационных формах реализации внеурочной деятельности.  </w:t>
      </w:r>
    </w:p>
    <w:p w:rsidR="006A7AB3" w:rsidRPr="006A7AB3" w:rsidRDefault="006A7AB3" w:rsidP="006A7AB3">
      <w:pPr>
        <w:spacing w:after="0"/>
        <w:ind w:firstLine="708"/>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Для воспитательной системы недостаточно наличия разных форм, важно чтобы содержание и методы воспитания в этих формах соответствовали целям воспитательной системы, ориентировали в поликультурном пространстве современного мира, формировали устойчивое позитивное отношение к базовым ценностям. Для этого важно, чтобы в образовательной организации, претендующей на статус воспитательной системы, была сформирована организационная структура. Состояние сформированности организационной структуры школьных воспитательных систем отражает следующая таблица. </w:t>
      </w:r>
    </w:p>
    <w:p w:rsidR="006A7AB3" w:rsidRPr="006A7AB3" w:rsidRDefault="006A7AB3" w:rsidP="006A7AB3">
      <w:pPr>
        <w:pStyle w:val="afb"/>
        <w:numPr>
          <w:ilvl w:val="0"/>
          <w:numId w:val="2"/>
        </w:numPr>
        <w:spacing w:after="0" w:line="240" w:lineRule="auto"/>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Состояние организационной структуры ВС</w:t>
      </w:r>
    </w:p>
    <w:p w:rsidR="006A7AB3" w:rsidRPr="006A7AB3" w:rsidRDefault="006A7AB3" w:rsidP="006A7AB3">
      <w:pPr>
        <w:pStyle w:val="afb"/>
        <w:numPr>
          <w:ilvl w:val="0"/>
          <w:numId w:val="2"/>
        </w:numPr>
        <w:spacing w:after="0" w:line="240" w:lineRule="auto"/>
        <w:jc w:val="center"/>
        <w:rPr>
          <w:rFonts w:ascii="Times New Roman" w:eastAsia="Calibri" w:hAnsi="Times New Roman" w:cs="Times New Roman"/>
          <w:b/>
          <w:sz w:val="28"/>
          <w:szCs w:val="28"/>
        </w:rPr>
      </w:pPr>
    </w:p>
    <w:p w:rsidR="006A7AB3" w:rsidRPr="006A7AB3" w:rsidRDefault="006A7AB3" w:rsidP="006A7AB3">
      <w:pPr>
        <w:spacing w:after="0" w:line="240" w:lineRule="auto"/>
        <w:ind w:firstLine="708"/>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66"/>
        <w:gridCol w:w="424"/>
        <w:gridCol w:w="1278"/>
        <w:gridCol w:w="950"/>
        <w:gridCol w:w="847"/>
        <w:gridCol w:w="847"/>
        <w:gridCol w:w="216"/>
        <w:gridCol w:w="790"/>
        <w:gridCol w:w="698"/>
        <w:gridCol w:w="216"/>
        <w:gridCol w:w="836"/>
        <w:gridCol w:w="664"/>
        <w:gridCol w:w="342"/>
        <w:gridCol w:w="847"/>
        <w:gridCol w:w="24"/>
      </w:tblGrid>
      <w:tr w:rsidR="006A7AB3" w:rsidTr="006A7AB3">
        <w:tc>
          <w:tcPr>
            <w:tcW w:w="789"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4379"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Критерий оценки</w:t>
            </w:r>
          </w:p>
        </w:tc>
        <w:tc>
          <w:tcPr>
            <w:tcW w:w="1695"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полностью</w:t>
            </w:r>
          </w:p>
        </w:tc>
        <w:tc>
          <w:tcPr>
            <w:tcW w:w="1730"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частично</w:t>
            </w:r>
          </w:p>
        </w:tc>
        <w:tc>
          <w:tcPr>
            <w:tcW w:w="1262"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w:t>
            </w:r>
          </w:p>
          <w:p w:rsidR="006A7AB3" w:rsidRDefault="006A7AB3">
            <w:pPr>
              <w:spacing w:after="0" w:line="240" w:lineRule="auto"/>
              <w:jc w:val="both"/>
              <w:rPr>
                <w:rFonts w:ascii="Times New Roman" w:hAnsi="Times New Roman"/>
                <w:sz w:val="24"/>
                <w:szCs w:val="24"/>
              </w:rPr>
            </w:pPr>
            <w:r>
              <w:rPr>
                <w:rFonts w:ascii="Times New Roman" w:hAnsi="Times New Roman"/>
                <w:b/>
                <w:sz w:val="24"/>
                <w:szCs w:val="24"/>
              </w:rPr>
              <w:t>слабо</w:t>
            </w:r>
          </w:p>
        </w:tc>
      </w:tr>
      <w:tr w:rsidR="006A7AB3" w:rsidTr="006A7AB3">
        <w:tc>
          <w:tcPr>
            <w:tcW w:w="789"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4379"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Целостность модели организационной структуры ВС</w:t>
            </w:r>
          </w:p>
        </w:tc>
        <w:tc>
          <w:tcPr>
            <w:tcW w:w="1695"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40 (</w:t>
            </w:r>
            <w:r>
              <w:rPr>
                <w:rFonts w:ascii="Times New Roman" w:eastAsia="Times New Roman" w:hAnsi="Times New Roman"/>
                <w:color w:val="000000"/>
                <w:sz w:val="24"/>
                <w:szCs w:val="24"/>
                <w:lang w:eastAsia="ru-RU"/>
              </w:rPr>
              <w:t>71,43%)</w:t>
            </w:r>
          </w:p>
        </w:tc>
        <w:tc>
          <w:tcPr>
            <w:tcW w:w="1730"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16 (</w:t>
            </w:r>
            <w:r>
              <w:rPr>
                <w:rFonts w:ascii="Times New Roman" w:eastAsia="Times New Roman" w:hAnsi="Times New Roman"/>
                <w:color w:val="000000"/>
                <w:sz w:val="24"/>
                <w:szCs w:val="24"/>
                <w:lang w:eastAsia="ru-RU"/>
              </w:rPr>
              <w:t>28,57</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789"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4379"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Целесообразность структурных подразделений</w:t>
            </w:r>
          </w:p>
        </w:tc>
        <w:tc>
          <w:tcPr>
            <w:tcW w:w="1695"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39</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69,64</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15</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26,79</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3,57</w:t>
            </w:r>
            <w:r>
              <w:rPr>
                <w:rFonts w:ascii="Times New Roman" w:eastAsia="Times New Roman" w:hAnsi="Times New Roman"/>
                <w:color w:val="000000"/>
                <w:sz w:val="24"/>
                <w:szCs w:val="24"/>
                <w:lang w:val="en-US" w:eastAsia="ru-RU"/>
              </w:rPr>
              <w:t>%)</w:t>
            </w:r>
          </w:p>
        </w:tc>
      </w:tr>
      <w:tr w:rsidR="006A7AB3" w:rsidTr="006A7AB3">
        <w:tc>
          <w:tcPr>
            <w:tcW w:w="789"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4379"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Взаимодополняемость содержания воспитания </w:t>
            </w:r>
          </w:p>
        </w:tc>
        <w:tc>
          <w:tcPr>
            <w:tcW w:w="1695"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75,00</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13</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23,21</w:t>
            </w:r>
            <w:r>
              <w:rPr>
                <w:rFonts w:ascii="Times New Roman" w:eastAsia="Times New Roman" w:hAnsi="Times New Roman"/>
                <w:color w:val="000000"/>
                <w:sz w:val="24"/>
                <w:szCs w:val="24"/>
                <w:lang w:val="en-US" w:eastAsia="ru-RU"/>
              </w:rPr>
              <w:t xml:space="preserve"> %)</w:t>
            </w:r>
          </w:p>
        </w:tc>
        <w:tc>
          <w:tcPr>
            <w:tcW w:w="1262"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1,79</w:t>
            </w:r>
            <w:r>
              <w:rPr>
                <w:rFonts w:ascii="Times New Roman" w:eastAsia="Times New Roman" w:hAnsi="Times New Roman"/>
                <w:color w:val="000000"/>
                <w:sz w:val="24"/>
                <w:szCs w:val="24"/>
                <w:lang w:val="en-US" w:eastAsia="ru-RU"/>
              </w:rPr>
              <w:t>%)</w:t>
            </w:r>
          </w:p>
        </w:tc>
      </w:tr>
      <w:tr w:rsidR="006A7AB3" w:rsidTr="006A7AB3">
        <w:tc>
          <w:tcPr>
            <w:tcW w:w="789"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w:t>
            </w:r>
          </w:p>
        </w:tc>
        <w:tc>
          <w:tcPr>
            <w:tcW w:w="4379"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Устойчивость взаимосвязей структурных подразделений</w:t>
            </w:r>
          </w:p>
        </w:tc>
        <w:tc>
          <w:tcPr>
            <w:tcW w:w="1695"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36</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64,29</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19</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33,93</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1,79</w:t>
            </w:r>
            <w:r>
              <w:rPr>
                <w:rFonts w:ascii="Times New Roman" w:eastAsia="Times New Roman" w:hAnsi="Times New Roman"/>
                <w:color w:val="000000"/>
                <w:sz w:val="24"/>
                <w:szCs w:val="24"/>
                <w:lang w:val="en-US" w:eastAsia="ru-RU"/>
              </w:rPr>
              <w:t>%)</w:t>
            </w:r>
          </w:p>
        </w:tc>
      </w:tr>
      <w:tr w:rsidR="006A7AB3" w:rsidTr="006A7AB3">
        <w:tc>
          <w:tcPr>
            <w:tcW w:w="789"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w:t>
            </w:r>
          </w:p>
        </w:tc>
        <w:tc>
          <w:tcPr>
            <w:tcW w:w="4379"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Адекватность наполнения основных сфер жизнедеятельности</w:t>
            </w:r>
          </w:p>
        </w:tc>
        <w:tc>
          <w:tcPr>
            <w:tcW w:w="1695"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45</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80,36</w:t>
            </w:r>
            <w:r>
              <w:rPr>
                <w:rFonts w:ascii="Times New Roman" w:eastAsia="Times New Roman" w:hAnsi="Times New Roman"/>
                <w:color w:val="000000"/>
                <w:sz w:val="24"/>
                <w:szCs w:val="24"/>
                <w:lang w:val="en-US" w:eastAsia="ru-RU"/>
              </w:rPr>
              <w:t>%)</w:t>
            </w:r>
          </w:p>
        </w:tc>
        <w:tc>
          <w:tcPr>
            <w:tcW w:w="1730"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lang w:val="en-US"/>
              </w:rPr>
            </w:pPr>
            <w:r>
              <w:rPr>
                <w:rFonts w:ascii="Times New Roman" w:hAnsi="Times New Roman"/>
                <w:sz w:val="24"/>
                <w:szCs w:val="24"/>
              </w:rPr>
              <w:t>11</w:t>
            </w:r>
            <w:r>
              <w:rPr>
                <w:rFonts w:ascii="Times New Roman" w:hAnsi="Times New Roman"/>
                <w:sz w:val="24"/>
                <w:szCs w:val="24"/>
                <w:lang w:val="en-US"/>
              </w:rPr>
              <w:t xml:space="preserve"> (</w:t>
            </w:r>
            <w:r>
              <w:rPr>
                <w:rFonts w:ascii="Times New Roman" w:eastAsia="Times New Roman" w:hAnsi="Times New Roman"/>
                <w:color w:val="000000"/>
                <w:sz w:val="24"/>
                <w:szCs w:val="24"/>
                <w:lang w:eastAsia="ru-RU"/>
              </w:rPr>
              <w:t>19,64</w:t>
            </w:r>
            <w:r>
              <w:rPr>
                <w:rFonts w:ascii="Times New Roman" w:eastAsia="Times New Roman" w:hAnsi="Times New Roman"/>
                <w:color w:val="000000"/>
                <w:sz w:val="24"/>
                <w:szCs w:val="24"/>
                <w:lang w:val="en-US" w:eastAsia="ru-RU"/>
              </w:rPr>
              <w:t>%)</w:t>
            </w:r>
          </w:p>
        </w:tc>
        <w:tc>
          <w:tcPr>
            <w:tcW w:w="1262"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377"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color w:val="2F5496" w:themeColor="accent5" w:themeShade="BF"/>
                <w:sz w:val="20"/>
                <w:szCs w:val="20"/>
              </w:rPr>
            </w:pPr>
          </w:p>
        </w:tc>
        <w:tc>
          <w:tcPr>
            <w:tcW w:w="1791" w:type="dxa"/>
            <w:gridSpan w:val="2"/>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color w:val="2F5496" w:themeColor="accent5" w:themeShade="BF"/>
                <w:sz w:val="20"/>
                <w:szCs w:val="20"/>
              </w:rPr>
            </w:pPr>
          </w:p>
        </w:tc>
        <w:tc>
          <w:tcPr>
            <w:tcW w:w="2784"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Сельские, %</w:t>
            </w:r>
          </w:p>
        </w:tc>
        <w:tc>
          <w:tcPr>
            <w:tcW w:w="2873"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Поселковые, %</w:t>
            </w:r>
          </w:p>
        </w:tc>
        <w:tc>
          <w:tcPr>
            <w:tcW w:w="2030" w:type="dxa"/>
            <w:gridSpan w:val="4"/>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Городские , %</w:t>
            </w:r>
          </w:p>
        </w:tc>
      </w:tr>
      <w:tr w:rsidR="006A7AB3"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w:t>
            </w:r>
          </w:p>
        </w:tc>
        <w:tc>
          <w:tcPr>
            <w:tcW w:w="179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Критерий оценки</w:t>
            </w:r>
          </w:p>
        </w:tc>
        <w:tc>
          <w:tcPr>
            <w:tcW w:w="100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полностью</w:t>
            </w:r>
          </w:p>
        </w:tc>
        <w:tc>
          <w:tcPr>
            <w:tcW w:w="89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частично</w:t>
            </w:r>
          </w:p>
        </w:tc>
        <w:tc>
          <w:tcPr>
            <w:tcW w:w="89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w:t>
            </w:r>
          </w:p>
          <w:p w:rsidR="006A7AB3" w:rsidRDefault="006A7AB3">
            <w:pPr>
              <w:spacing w:after="0" w:line="240" w:lineRule="auto"/>
              <w:jc w:val="both"/>
              <w:rPr>
                <w:rFonts w:ascii="Times New Roman" w:hAnsi="Times New Roman"/>
                <w:sz w:val="20"/>
                <w:szCs w:val="20"/>
              </w:rPr>
            </w:pPr>
            <w:r>
              <w:rPr>
                <w:rFonts w:ascii="Times New Roman" w:hAnsi="Times New Roman"/>
                <w:b/>
                <w:sz w:val="20"/>
                <w:szCs w:val="20"/>
              </w:rPr>
              <w:t>слабо</w:t>
            </w:r>
          </w:p>
        </w:tc>
        <w:tc>
          <w:tcPr>
            <w:tcW w:w="1046"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полностью</w:t>
            </w:r>
          </w:p>
        </w:tc>
        <w:tc>
          <w:tcPr>
            <w:tcW w:w="108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частично</w:t>
            </w:r>
          </w:p>
        </w:tc>
        <w:tc>
          <w:tcPr>
            <w:tcW w:w="74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w:t>
            </w:r>
          </w:p>
          <w:p w:rsidR="006A7AB3" w:rsidRDefault="006A7AB3">
            <w:pPr>
              <w:spacing w:after="0" w:line="240" w:lineRule="auto"/>
              <w:jc w:val="both"/>
              <w:rPr>
                <w:rFonts w:ascii="Times New Roman" w:hAnsi="Times New Roman"/>
                <w:sz w:val="20"/>
                <w:szCs w:val="20"/>
              </w:rPr>
            </w:pPr>
            <w:r>
              <w:rPr>
                <w:rFonts w:ascii="Times New Roman" w:hAnsi="Times New Roman"/>
                <w:b/>
                <w:sz w:val="20"/>
                <w:szCs w:val="20"/>
              </w:rPr>
              <w:t>слабо</w:t>
            </w:r>
          </w:p>
        </w:tc>
        <w:tc>
          <w:tcPr>
            <w:tcW w:w="1046"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полностью</w:t>
            </w:r>
          </w:p>
        </w:tc>
        <w:tc>
          <w:tcPr>
            <w:tcW w:w="89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0"/>
                <w:szCs w:val="20"/>
              </w:rPr>
            </w:pPr>
            <w:r>
              <w:rPr>
                <w:rFonts w:ascii="Times New Roman" w:hAnsi="Times New Roman"/>
                <w:b/>
                <w:sz w:val="20"/>
                <w:szCs w:val="20"/>
              </w:rPr>
              <w:t>Выражен частично</w:t>
            </w:r>
          </w:p>
        </w:tc>
      </w:tr>
      <w:tr w:rsidR="006A7AB3"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1</w:t>
            </w:r>
          </w:p>
        </w:tc>
        <w:tc>
          <w:tcPr>
            <w:tcW w:w="179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Целостность модели организационной структуры ВС</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90,91</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9,09</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52,63</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47,37</w:t>
            </w:r>
          </w:p>
        </w:tc>
        <w:tc>
          <w:tcPr>
            <w:tcW w:w="74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76,92</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23,08</w:t>
            </w:r>
          </w:p>
        </w:tc>
      </w:tr>
      <w:tr w:rsidR="006A7AB3"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2</w:t>
            </w:r>
          </w:p>
        </w:tc>
        <w:tc>
          <w:tcPr>
            <w:tcW w:w="179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Целесообразность структурных подразделений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81,82</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18,18</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68,42</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31,58</w:t>
            </w:r>
          </w:p>
        </w:tc>
        <w:tc>
          <w:tcPr>
            <w:tcW w:w="74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65,38</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26,92</w:t>
            </w:r>
          </w:p>
        </w:tc>
      </w:tr>
      <w:tr w:rsidR="006A7AB3"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3</w:t>
            </w:r>
          </w:p>
        </w:tc>
        <w:tc>
          <w:tcPr>
            <w:tcW w:w="179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 xml:space="preserve">Взаимодополняемость содержания воспитания </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81,82</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18,18</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68,42</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26,32</w:t>
            </w:r>
          </w:p>
        </w:tc>
        <w:tc>
          <w:tcPr>
            <w:tcW w:w="74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5,26</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76,92</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23,08</w:t>
            </w:r>
          </w:p>
        </w:tc>
      </w:tr>
      <w:tr w:rsidR="006A7AB3"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lastRenderedPageBreak/>
              <w:t>4</w:t>
            </w:r>
          </w:p>
        </w:tc>
        <w:tc>
          <w:tcPr>
            <w:tcW w:w="179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Устойчивость взаимосвязей структурных подразделений</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72,73</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lang w:val="en-US"/>
              </w:rPr>
            </w:pPr>
            <w:r>
              <w:rPr>
                <w:rFonts w:ascii="Times New Roman" w:eastAsia="Times New Roman" w:hAnsi="Times New Roman"/>
                <w:sz w:val="20"/>
                <w:szCs w:val="20"/>
                <w:lang w:eastAsia="ru-RU"/>
              </w:rPr>
              <w:t>27,27</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47,37</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52,63</w:t>
            </w:r>
          </w:p>
        </w:tc>
        <w:tc>
          <w:tcPr>
            <w:tcW w:w="74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73,08</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23,08</w:t>
            </w:r>
          </w:p>
        </w:tc>
      </w:tr>
      <w:tr w:rsidR="006A7AB3" w:rsidTr="006A7AB3">
        <w:trPr>
          <w:gridAfter w:val="1"/>
          <w:wAfter w:w="93" w:type="dxa"/>
        </w:trPr>
        <w:tc>
          <w:tcPr>
            <w:tcW w:w="37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5</w:t>
            </w:r>
          </w:p>
        </w:tc>
        <w:tc>
          <w:tcPr>
            <w:tcW w:w="1791"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Адекватность наполнения основных сфер жизнедеятельности</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63,16</w:t>
            </w:r>
          </w:p>
        </w:tc>
        <w:tc>
          <w:tcPr>
            <w:tcW w:w="1081"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36,84</w:t>
            </w:r>
          </w:p>
        </w:tc>
        <w:tc>
          <w:tcPr>
            <w:tcW w:w="74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84,62</w:t>
            </w:r>
          </w:p>
        </w:tc>
        <w:tc>
          <w:tcPr>
            <w:tcW w:w="89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15,38</w:t>
            </w:r>
          </w:p>
        </w:tc>
      </w:tr>
    </w:tbl>
    <w:p w:rsidR="006A7AB3" w:rsidRDefault="006A7AB3" w:rsidP="006A7AB3">
      <w:pPr>
        <w:spacing w:after="160" w:line="256" w:lineRule="auto"/>
        <w:jc w:val="both"/>
        <w:rPr>
          <w:rFonts w:ascii="Times New Roman" w:eastAsia="Calibri" w:hAnsi="Times New Roman" w:cs="Times New Roman"/>
          <w:b/>
          <w:sz w:val="24"/>
          <w:szCs w:val="24"/>
        </w:rPr>
      </w:pPr>
    </w:p>
    <w:p w:rsidR="006A7AB3" w:rsidRPr="006A7AB3" w:rsidRDefault="006A7AB3" w:rsidP="006A7AB3">
      <w:pPr>
        <w:spacing w:after="160"/>
        <w:jc w:val="both"/>
        <w:rPr>
          <w:rFonts w:ascii="Times New Roman" w:eastAsia="Calibri" w:hAnsi="Times New Roman" w:cs="Times New Roman"/>
          <w:sz w:val="28"/>
          <w:szCs w:val="28"/>
        </w:rPr>
      </w:pPr>
      <w:r>
        <w:rPr>
          <w:rFonts w:ascii="Times New Roman" w:eastAsia="Calibri" w:hAnsi="Times New Roman" w:cs="Times New Roman"/>
          <w:b/>
          <w:sz w:val="24"/>
          <w:szCs w:val="24"/>
        </w:rPr>
        <w:tab/>
      </w:r>
      <w:r w:rsidRPr="006A7AB3">
        <w:rPr>
          <w:rFonts w:ascii="Times New Roman" w:eastAsia="Calibri" w:hAnsi="Times New Roman" w:cs="Times New Roman"/>
          <w:sz w:val="28"/>
          <w:szCs w:val="28"/>
        </w:rPr>
        <w:t>Анализ представленных таблиц позволяет утверждать, что, по мнению респондентов, три основные характеристики организационной структуры ВС в значительной степени – более 70% выражены полностью. Это целостность модели – 71,4%, взаимодополняемость содержания воспитания – 75 %, адекватность наполнения основных сфер жизнедеятельности -80,3 %. Это свидетельствует о жизнеспособности системы, о возможности в её условиях формировать позитивный социальный опыт учащихся. В то же время утверждение 16 респондентов (28,5 %) о том, что целостность модели ВС выражена частично, приводит к мысли о том, что лишь 3 организации находятся на этапе становления своих организаций как воспитательных систем, как это было заявлено изначально. Их явно больше. Этот вывод согласуется с выводами о целеполагании, где 19 (34%) организаций пока ещё только создают необходимые условия для развития личности.</w:t>
      </w:r>
    </w:p>
    <w:p w:rsidR="006A7AB3" w:rsidRPr="006A7AB3" w:rsidRDefault="006A7AB3" w:rsidP="006A7AB3">
      <w:pPr>
        <w:spacing w:after="0"/>
        <w:ind w:firstLine="357"/>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Особое внимание вызывает то положение, что в структуре системы в 15 школах частично, а в 2-х школах слабо выражена целесообразность существования структурных подразделений. Такие данные можно рассматривать как определённую зону риска, т.к. школьники вовлечены в воспитательную деятельность вне целесообразности системы воспитания.</w:t>
      </w: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Расхождения в оценке структурных элементов ВС позволяют говорить о недостаточной продуманности организационной структуры ВС, а главное нет соответствия некоторых элементов поставленной цели.</w:t>
      </w: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Важным компонентом воспитательной системы является самоуправление обучающихся, которое является особой формой воспитания. Самоуправление требует специального обучения для осуществления возложенных на него функций. Являясь частью государственно-общественного управления, оно влияет на способы вовлечения подростков во все сферы жизни школы.</w:t>
      </w: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 Значимость этой формы невозможно переоценить, однако, реальный уровень осуществления функций самоуправления обучающихся вызывает множество вопросов. Обратимся к данным таблицы 5.</w:t>
      </w:r>
    </w:p>
    <w:p w:rsidR="006A7AB3" w:rsidRPr="006A7AB3" w:rsidRDefault="006A7AB3" w:rsidP="006A7AB3">
      <w:pPr>
        <w:spacing w:after="0"/>
        <w:ind w:firstLine="709"/>
        <w:jc w:val="both"/>
        <w:rPr>
          <w:rFonts w:ascii="Times New Roman" w:eastAsia="Calibri" w:hAnsi="Times New Roman" w:cs="Times New Roman"/>
          <w:sz w:val="28"/>
          <w:szCs w:val="28"/>
        </w:rPr>
      </w:pPr>
    </w:p>
    <w:p w:rsidR="006A7AB3" w:rsidRPr="006A7AB3" w:rsidRDefault="006A7AB3" w:rsidP="006A7AB3">
      <w:pPr>
        <w:numPr>
          <w:ilvl w:val="0"/>
          <w:numId w:val="3"/>
        </w:num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Состояние деятельности органов ученического самоуправления</w:t>
      </w:r>
    </w:p>
    <w:p w:rsidR="006A7AB3" w:rsidRPr="006A7AB3" w:rsidRDefault="006A7AB3" w:rsidP="006A7AB3">
      <w:pPr>
        <w:spacing w:after="0" w:line="240" w:lineRule="auto"/>
        <w:ind w:left="360"/>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651"/>
        <w:gridCol w:w="3899"/>
        <w:gridCol w:w="1513"/>
        <w:gridCol w:w="1594"/>
        <w:gridCol w:w="1688"/>
      </w:tblGrid>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Критерий оценки</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отлично</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хорошо</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удовлетво-рительно</w:t>
            </w:r>
          </w:p>
        </w:tc>
      </w:tr>
      <w:tr w:rsidR="006A7AB3" w:rsidTr="006A7AB3">
        <w:tc>
          <w:tcPr>
            <w:tcW w:w="675" w:type="dxa"/>
            <w:vMerge w:val="restart"/>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1</w:t>
            </w:r>
          </w:p>
        </w:tc>
        <w:tc>
          <w:tcPr>
            <w:tcW w:w="9042" w:type="dxa"/>
            <w:gridSpan w:val="4"/>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i/>
                <w:sz w:val="24"/>
                <w:szCs w:val="24"/>
              </w:rPr>
            </w:pPr>
            <w:r>
              <w:rPr>
                <w:rFonts w:ascii="Times New Roman" w:hAnsi="Times New Roman"/>
                <w:i/>
                <w:sz w:val="24"/>
                <w:szCs w:val="24"/>
              </w:rPr>
              <w:t>Наличие нормативных документов, определяющих пространство деятельности ученического самоуправления</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 xml:space="preserve">положение о выборах </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 (23,21%)</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23 (41,07%)</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20 (35,71%)</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 xml:space="preserve">положение о полномочиях выборных органов </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11 (19,64%)</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28 (50,00%)</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17 (30,36%)</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положение о конференции (общем собрании)</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7 (12,50%)</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29 (51,79%)</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20 (35,71%)</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другое</w:t>
            </w:r>
          </w:p>
        </w:tc>
        <w:tc>
          <w:tcPr>
            <w:tcW w:w="1559"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4"/>
                <w:szCs w:val="24"/>
              </w:rPr>
            </w:pPr>
          </w:p>
        </w:tc>
        <w:tc>
          <w:tcPr>
            <w:tcW w:w="1650"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4"/>
                <w:szCs w:val="24"/>
              </w:rPr>
            </w:pPr>
          </w:p>
        </w:tc>
        <w:tc>
          <w:tcPr>
            <w:tcW w:w="1722"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4"/>
                <w:szCs w:val="24"/>
              </w:rPr>
            </w:pPr>
          </w:p>
        </w:tc>
      </w:tr>
      <w:tr w:rsidR="006A7AB3" w:rsidTr="006A7AB3">
        <w:tc>
          <w:tcPr>
            <w:tcW w:w="675" w:type="dxa"/>
            <w:vMerge w:val="restart"/>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2</w:t>
            </w:r>
          </w:p>
        </w:tc>
        <w:tc>
          <w:tcPr>
            <w:tcW w:w="9042" w:type="dxa"/>
            <w:gridSpan w:val="4"/>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i/>
                <w:sz w:val="24"/>
                <w:szCs w:val="24"/>
              </w:rPr>
            </w:pPr>
            <w:r>
              <w:rPr>
                <w:rFonts w:ascii="Times New Roman" w:hAnsi="Times New Roman"/>
                <w:i/>
                <w:sz w:val="24"/>
                <w:szCs w:val="24"/>
              </w:rPr>
              <w:t>Педагогическая  поддержка деятельности органов ученического самоуправления</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разработаны рекомендации по взаимодействию классного руководителя с органами самоуправления в классе</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10 (17,86%)</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31 (55,36%)</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15 (26,79%)</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выделены педагоги, консультирующие представителей органов самоуправления по направлениям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19 (33,93%)</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25 (44,64%)</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12 (21.43%)</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осуществляется обучение школьников, выбранных в органы ученического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 (23,21%)</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24 (42,86%)</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19 (33,93%)</w:t>
            </w:r>
          </w:p>
        </w:tc>
      </w:tr>
      <w:tr w:rsidR="006A7AB3" w:rsidTr="006A7AB3">
        <w:tc>
          <w:tcPr>
            <w:tcW w:w="675" w:type="dxa"/>
            <w:vMerge w:val="restart"/>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3</w:t>
            </w:r>
          </w:p>
        </w:tc>
        <w:tc>
          <w:tcPr>
            <w:tcW w:w="9042" w:type="dxa"/>
            <w:gridSpan w:val="4"/>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i/>
                <w:sz w:val="24"/>
                <w:szCs w:val="24"/>
              </w:rPr>
            </w:pPr>
            <w:r>
              <w:rPr>
                <w:rFonts w:ascii="Times New Roman" w:hAnsi="Times New Roman"/>
                <w:i/>
                <w:sz w:val="24"/>
                <w:szCs w:val="24"/>
              </w:rPr>
              <w:t>Результативность деятельности органов ученического самоуправления в разных направлениях деятельности</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здоровый образ жизни</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27 (48,21%)</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26 (46,43%)</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 (5,36%)</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организация традиционных праздников в жизни школы</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48 (85,71%)</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7 (12,50%)</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(1,79 %)</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служба примирения и согласия</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(1,79%)</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24 (42,86%)</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31 (55,36%)</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социальное проектирование</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14 (25,00%)</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34 (60,71%)</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8 (14,29%)</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дисциплина и порядок (дежурство по школе)</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16 (28,57%)</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32 (57,14%)</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8 (14,29%)</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качество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10 (17,86%)</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39 (69,64%)</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7 (12,50%)</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работы школьных СМИ </w:t>
            </w:r>
          </w:p>
        </w:tc>
        <w:tc>
          <w:tcPr>
            <w:tcW w:w="155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19 (33,93%)</w:t>
            </w:r>
          </w:p>
        </w:tc>
        <w:tc>
          <w:tcPr>
            <w:tcW w:w="16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24 (42,86%)</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 (23,21%)</w:t>
            </w:r>
          </w:p>
        </w:tc>
      </w:tr>
      <w:tr w:rsidR="006A7AB3" w:rsidTr="006A7AB3">
        <w:tc>
          <w:tcPr>
            <w:tcW w:w="0" w:type="auto"/>
            <w:vMerge/>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другое</w:t>
            </w:r>
          </w:p>
        </w:tc>
        <w:tc>
          <w:tcPr>
            <w:tcW w:w="1559"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4"/>
                <w:szCs w:val="24"/>
              </w:rPr>
            </w:pPr>
          </w:p>
        </w:tc>
        <w:tc>
          <w:tcPr>
            <w:tcW w:w="1650"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4"/>
                <w:szCs w:val="24"/>
              </w:rPr>
            </w:pPr>
          </w:p>
        </w:tc>
        <w:tc>
          <w:tcPr>
            <w:tcW w:w="1722"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4"/>
                <w:szCs w:val="24"/>
              </w:rPr>
            </w:pPr>
          </w:p>
        </w:tc>
      </w:tr>
    </w:tbl>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Наличие нормативных документов, определяющих пространство деятельности ученического самоуправления, находится в зоне риска.  Культура общественной деятельности вне проработки нормативной основы влечёт за собой целый ряд проблем. Ученическое самоуправление как ведущее средство формирования осознанной гражданской позиции начинается с культуры выборной кампании. Полученные данные говорят о том, что этому вопросу не уделяется должного внимания в 43 школах из 56. Отсутствие положения о выборах в образовательной организации можно сравнить с </w:t>
      </w:r>
      <w:r w:rsidRPr="006A7AB3">
        <w:rPr>
          <w:rFonts w:ascii="Times New Roman" w:eastAsia="Calibri" w:hAnsi="Times New Roman" w:cs="Times New Roman"/>
          <w:sz w:val="28"/>
          <w:szCs w:val="28"/>
        </w:rPr>
        <w:lastRenderedPageBreak/>
        <w:t>отсутствием Закона о выборах в стране. Значительное несоответствие в цифровых данных в этом блоке вопросов позволяет утверждать, что в школах отсутствует понимание воспитательного смысла процедур формирования правового пространства школы и правовой культуры личности школьника. В данном вопросе должно быть полное соответствие нормативных документов, определяющих порядок выборов в органы самоуправления, полномочий, которые эти органы имеют, а также порядок принятия решений и отчётности за проделанную работу на школьной конференции (общем собрании).</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Недостаточное внимание к данному средству воспитания подтверждают данные о педагогической поддержке деятельности органов ученического самоуправления. </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Рекомендации по взаимодействию классного руководителя с органами самоуправления в классе на высоком уровне разработаны только в 10 школах, в 15 они находятся на удовлетворительном уровне. </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Сопоставление данных по нормативной базе заставляет задуматься о достоверности ответов. Так, положение о полномочиях выборных органов разработано только в 28 школах, а рекомендации классным руководителям как взаимодействовать с ними отмечает уже 31 школа. Подобное несоответствие данных можно проследить, сопоставляя данные первого и второго разделов таблицы. Например, полномочия выборных органов прописаны только в</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 xml:space="preserve">11 школах, а обучение школьников, выбранных в органы ученического самоуправления, осуществляет уже 13 школ. Полномочия выборных органов хорошо отражены в положениях 28 школ, а педагоги-консультанты выделены только в 25. Что стоит за этим несоответствием догадаться не трудно - за этими данными стоит низкий уровень владения технологиями педагогической поддержки, слабое владение содержанием воспитания осознанной гражданской позиции. </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Результативность деятельности органов ученического самоуправления в разных направлениях деятельности позволяет говорить о реальном пространстве самоуправления, которое делегировано органам самоуправления.</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Первое место в их деятельности занимает организация традиционных праздников в жизни школы. 48 школ отмечают, что ребята справляются отлично. Это очень важный позитивный показатель. Традиция как средство воспитания является способом сохранения нравственных ценностей, воспроизводства характера отношений к ключевым событиям, традиции во многом определяют уклад школьной </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lastRenderedPageBreak/>
        <w:tab/>
        <w:t>Постепенно органы самоуправления осваивают и разные формы деятельности, связанные со здоровым образом жизни. Отличную и хорошую оценку ставят соответственно 27 и 26 школ.</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Эти цифры подтверждают отношение старшеклассников к здоровому образу жизни как ценности, которое было выявлено ранее.</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За органами самоуправления закреплены полномочия дежурства по школе, поддержание дисциплины и порядка. Эта функция ученического самоуправления в разные исторические периоды использования самоуправления как средства воспитания получает то расширительное толкование, то сходит на «нет». Понимание значимости этой формы воспитания проявили руководители 16 школ которые считает, что эта функция реализуется отлично, а в 32 школах – хорошо. Можно считать, что в данном вопросе достигнут определённый уровень понимания роли дисциплины и порядка в школе, однако в эту оценку вносит свои коррективы служба примирения и согласия. Вовлечение ребят в процедуры решения конфликтов в полном объёме осуществляет только одна школа, остальные школы считают, что служба привлекает ребят достаточно хорошо - 24 школы и 31 школа оценивает этот вид деятельности удовлетворительно. Сложность организации работы службы примирения и согласия без участия самих школьников достаточно сложный вопрос, он дебатируется в психолого-педагогической литературе, есть свои «за» и «против». Это дискуссионное не устоявшееся отношение к вопросам передачи выборным органам функционала поддержки дисциплины и порядка имеет длительную историю. В настоящий момент решения этого вопроса является прерогативой педагогического коллектива. Как показывает опыт, такая функция является показателем зрелости школьного коллектива, отражает целостность и устойчивость воспитательной системы.</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Социальное проектирование, в настоящее время рассматривается как основная форма организации деятельности ученического самоуправления. Она внедряется в воспитательный процесс в течение последних десяти лет. Данные мониторинга позволяют говорить, что социальное проектирование освоили и используют на высоком уровне 48 школ, из них 14 считают, что отлично владеют социальным проектированием и 34 школы оценивают свой уровень как хороший. Только 8 школ оценили владение этой технологией как удовлетворительное. К сожалению, такая самооценка не находит выхода социальных проектов на региональные конкурсные площадки. Вероятно, такое оценочное суждение данной технологии, сводится к информированности о воспитательных возможностях социального </w:t>
      </w:r>
      <w:r w:rsidRPr="006A7AB3">
        <w:rPr>
          <w:rFonts w:ascii="Times New Roman" w:eastAsia="Calibri" w:hAnsi="Times New Roman" w:cs="Times New Roman"/>
          <w:sz w:val="28"/>
          <w:szCs w:val="28"/>
        </w:rPr>
        <w:lastRenderedPageBreak/>
        <w:t xml:space="preserve">проектирования, но не рассматривается с позиций реальной социальной значимости результата, достигнутого реализацией данного проекта. </w:t>
      </w:r>
    </w:p>
    <w:p w:rsidR="006A7AB3" w:rsidRPr="006A7AB3" w:rsidRDefault="006A7AB3" w:rsidP="006A7AB3">
      <w:pPr>
        <w:spacing w:after="0"/>
        <w:ind w:firstLine="680"/>
        <w:jc w:val="both"/>
        <w:rPr>
          <w:rFonts w:ascii="Times New Roman" w:eastAsia="Calibri" w:hAnsi="Times New Roman" w:cs="Times New Roman"/>
          <w:b/>
          <w:sz w:val="28"/>
          <w:szCs w:val="28"/>
        </w:rPr>
      </w:pPr>
    </w:p>
    <w:p w:rsidR="006A7AB3" w:rsidRPr="006A7AB3" w:rsidRDefault="006A7AB3" w:rsidP="006A7AB3">
      <w:pPr>
        <w:spacing w:after="0"/>
        <w:ind w:firstLine="680"/>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6. Анализ данных блока управления воспитательной системой</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Управление воспитательной системой как многофункциональным социальным объектом предполагает разработку такого комплекса управленческих форм и методов, который позволит регулировать качественный рост всех компонентов системы, при этом, важнейшей задачей такого комплекса является обеспечение жизнеспособности и устойчивости системы.</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В мониторинг были включены такие управленческие формы и методы, без которых обеспечение развития воспитательной системы невозможно.</w:t>
      </w:r>
    </w:p>
    <w:p w:rsidR="006A7AB3" w:rsidRPr="006A7AB3" w:rsidRDefault="006A7AB3" w:rsidP="006A7AB3">
      <w:pPr>
        <w:spacing w:after="0"/>
        <w:ind w:firstLine="68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Первой задачей обеспечения развития воспитательной системы является комплекс мер, обеспечивающих последовательное обсуждение и проработку путей решения проблем, возникающих в процессе жизнедеятельности школьного коллектива. Понимание значимости такого комплекса управленческих действий отражено в таблице 6.1.</w:t>
      </w:r>
    </w:p>
    <w:p w:rsidR="006A7AB3" w:rsidRDefault="006A7AB3" w:rsidP="006A7AB3">
      <w:pPr>
        <w:spacing w:after="0"/>
        <w:ind w:firstLine="680"/>
        <w:jc w:val="both"/>
        <w:rPr>
          <w:rFonts w:ascii="Times New Roman" w:eastAsia="Calibri" w:hAnsi="Times New Roman" w:cs="Times New Roman"/>
          <w:sz w:val="24"/>
          <w:szCs w:val="24"/>
        </w:rPr>
      </w:pPr>
    </w:p>
    <w:p w:rsidR="006A7AB3" w:rsidRPr="006A7AB3" w:rsidRDefault="006A7AB3" w:rsidP="006A7AB3">
      <w:pPr>
        <w:numPr>
          <w:ilvl w:val="0"/>
          <w:numId w:val="3"/>
        </w:numPr>
        <w:spacing w:after="0"/>
        <w:ind w:left="0"/>
        <w:contextualSpacing/>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 xml:space="preserve">1. Осуществление контроля функционирования </w:t>
      </w:r>
    </w:p>
    <w:p w:rsidR="006A7AB3" w:rsidRPr="006A7AB3" w:rsidRDefault="006A7AB3" w:rsidP="006A7AB3">
      <w:pPr>
        <w:spacing w:after="0"/>
        <w:ind w:firstLine="357"/>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воспитательной системы</w:t>
      </w:r>
    </w:p>
    <w:p w:rsidR="006A7AB3" w:rsidRPr="006A7AB3" w:rsidRDefault="006A7AB3" w:rsidP="006A7AB3">
      <w:pPr>
        <w:spacing w:after="0"/>
        <w:ind w:firstLine="357"/>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020"/>
        <w:gridCol w:w="1803"/>
        <w:gridCol w:w="2253"/>
        <w:gridCol w:w="1002"/>
        <w:gridCol w:w="1267"/>
      </w:tblGrid>
      <w:tr w:rsidR="006A7AB3" w:rsidTr="006A7AB3">
        <w:tc>
          <w:tcPr>
            <w:tcW w:w="317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Направления</w:t>
            </w:r>
          </w:p>
        </w:tc>
        <w:tc>
          <w:tcPr>
            <w:tcW w:w="18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Постоянно</w:t>
            </w:r>
          </w:p>
        </w:tc>
        <w:tc>
          <w:tcPr>
            <w:tcW w:w="232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По мере необходимости</w:t>
            </w:r>
          </w:p>
        </w:tc>
        <w:tc>
          <w:tcPr>
            <w:tcW w:w="1149"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hAnsi="Times New Roman"/>
                <w:b/>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Редко</w:t>
            </w:r>
          </w:p>
        </w:tc>
      </w:tr>
      <w:tr w:rsidR="006A7AB3" w:rsidTr="006A7AB3">
        <w:tc>
          <w:tcPr>
            <w:tcW w:w="317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Вопросы включены в программу внутришкольного контроля </w:t>
            </w:r>
          </w:p>
        </w:tc>
        <w:tc>
          <w:tcPr>
            <w:tcW w:w="18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47 (83,93%)</w:t>
            </w:r>
          </w:p>
        </w:tc>
        <w:tc>
          <w:tcPr>
            <w:tcW w:w="232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9 (16,07%)</w:t>
            </w:r>
          </w:p>
        </w:tc>
        <w:tc>
          <w:tcPr>
            <w:tcW w:w="1149"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0</w:t>
            </w:r>
          </w:p>
        </w:tc>
      </w:tr>
      <w:tr w:rsidR="006A7AB3" w:rsidTr="006A7AB3">
        <w:tc>
          <w:tcPr>
            <w:tcW w:w="3179"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Рассматриваются на административных совещаниях</w:t>
            </w:r>
          </w:p>
          <w:p w:rsidR="006A7AB3" w:rsidRDefault="006A7AB3">
            <w:pPr>
              <w:spacing w:after="0" w:line="240" w:lineRule="auto"/>
              <w:jc w:val="both"/>
              <w:rPr>
                <w:rFonts w:ascii="Times New Roman"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37 (66,07%)</w:t>
            </w:r>
          </w:p>
        </w:tc>
        <w:tc>
          <w:tcPr>
            <w:tcW w:w="232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18 (32,14%)</w:t>
            </w:r>
          </w:p>
        </w:tc>
        <w:tc>
          <w:tcPr>
            <w:tcW w:w="1149"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 (1,79%)</w:t>
            </w:r>
          </w:p>
        </w:tc>
      </w:tr>
      <w:tr w:rsidR="006A7AB3" w:rsidTr="006A7AB3">
        <w:tc>
          <w:tcPr>
            <w:tcW w:w="317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Становятся предметом рассмотрения на педагогических советах</w:t>
            </w:r>
          </w:p>
        </w:tc>
        <w:tc>
          <w:tcPr>
            <w:tcW w:w="18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25 (44,64%)</w:t>
            </w:r>
          </w:p>
        </w:tc>
        <w:tc>
          <w:tcPr>
            <w:tcW w:w="232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29 (51,79%)</w:t>
            </w:r>
          </w:p>
        </w:tc>
        <w:tc>
          <w:tcPr>
            <w:tcW w:w="1149"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center"/>
              <w:rPr>
                <w:rFonts w:ascii="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 (3,57%)</w:t>
            </w:r>
          </w:p>
        </w:tc>
      </w:tr>
    </w:tbl>
    <w:p w:rsidR="006A7AB3" w:rsidRPr="006A7AB3" w:rsidRDefault="006A7AB3" w:rsidP="006A7AB3">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6A7AB3">
        <w:rPr>
          <w:rFonts w:ascii="Times New Roman" w:hAnsi="Times New Roman" w:cs="Times New Roman"/>
          <w:sz w:val="28"/>
          <w:szCs w:val="28"/>
        </w:rPr>
        <w:t>Следует отметить, что вопросы осуществления контроля функционирования воспитательной системы постоянно включаются в программу внутришкольного контроля в 47 организациях, что составляет 83,9 %, но только в 37 организациях (66%) рассматриваются на административных совещаниях и в 25 организациях являются предметом рассмотрения на педагогических советах. Почти половина респондентов утверждает о том, что к этим вопросам они возвращаются по мере необходимости.</w:t>
      </w:r>
    </w:p>
    <w:p w:rsidR="006A7AB3" w:rsidRPr="006A7AB3" w:rsidRDefault="006A7AB3" w:rsidP="006A7AB3">
      <w:pPr>
        <w:spacing w:after="0" w:line="240" w:lineRule="auto"/>
        <w:ind w:firstLine="680"/>
        <w:jc w:val="both"/>
        <w:rPr>
          <w:rFonts w:ascii="Times New Roman" w:hAnsi="Times New Roman" w:cs="Times New Roman"/>
          <w:sz w:val="28"/>
          <w:szCs w:val="28"/>
        </w:rPr>
      </w:pPr>
      <w:r w:rsidRPr="006A7AB3">
        <w:rPr>
          <w:rFonts w:ascii="Times New Roman" w:eastAsia="Calibri" w:hAnsi="Times New Roman" w:cs="Times New Roman"/>
          <w:sz w:val="28"/>
          <w:szCs w:val="28"/>
        </w:rPr>
        <w:lastRenderedPageBreak/>
        <w:t xml:space="preserve">К сожалению, данная проблематика обсуждается в основном на административных совещаниях и значительно реже становится предметом рассмотрения на педагогических советах.  По мере необходимости педагогический совет рассматривает вопросы воспитания в 29 школах, а в 2 школы никогда не ставят эти вопросы на педсовете. </w:t>
      </w:r>
    </w:p>
    <w:p w:rsidR="006A7AB3" w:rsidRPr="006A7AB3" w:rsidRDefault="006A7AB3" w:rsidP="006A7AB3">
      <w:pPr>
        <w:spacing w:after="0"/>
        <w:ind w:firstLine="680"/>
        <w:jc w:val="both"/>
        <w:rPr>
          <w:rFonts w:ascii="Times New Roman" w:eastAsia="Times New Roman" w:hAnsi="Times New Roman" w:cs="Times New Roman"/>
          <w:sz w:val="28"/>
          <w:szCs w:val="28"/>
        </w:rPr>
      </w:pPr>
      <w:r w:rsidRPr="006A7AB3">
        <w:rPr>
          <w:rFonts w:ascii="Times New Roman" w:eastAsia="Times New Roman" w:hAnsi="Times New Roman" w:cs="Times New Roman"/>
          <w:sz w:val="28"/>
          <w:szCs w:val="28"/>
        </w:rPr>
        <w:t>Должное внимание уделяется в большинстве школ разработке системы методического сопровождения по проблематике функционирования и развития воспитательных систем, о чем свидетельствуют данные таблицы 6.2.</w:t>
      </w:r>
    </w:p>
    <w:p w:rsidR="006A7AB3" w:rsidRPr="006A7AB3" w:rsidRDefault="006A7AB3" w:rsidP="006A7AB3">
      <w:pPr>
        <w:spacing w:after="0"/>
        <w:ind w:firstLine="680"/>
        <w:jc w:val="both"/>
        <w:rPr>
          <w:rFonts w:ascii="Times New Roman" w:eastAsia="Times New Roman" w:hAnsi="Times New Roman" w:cs="Times New Roman"/>
          <w:sz w:val="28"/>
          <w:szCs w:val="28"/>
        </w:rPr>
      </w:pPr>
    </w:p>
    <w:p w:rsidR="006A7AB3" w:rsidRPr="006A7AB3" w:rsidRDefault="006A7AB3" w:rsidP="006A7AB3">
      <w:pPr>
        <w:numPr>
          <w:ilvl w:val="1"/>
          <w:numId w:val="3"/>
        </w:numPr>
        <w:spacing w:after="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Разработка  системы методического сопровождения педагогов школы по проблематике воспитательной системы</w:t>
      </w:r>
    </w:p>
    <w:tbl>
      <w:tblPr>
        <w:tblW w:w="0" w:type="auto"/>
        <w:tblLook w:val="04A0" w:firstRow="1" w:lastRow="0" w:firstColumn="1" w:lastColumn="0" w:noHBand="0" w:noVBand="1"/>
      </w:tblPr>
      <w:tblGrid>
        <w:gridCol w:w="3115"/>
        <w:gridCol w:w="2834"/>
        <w:gridCol w:w="3396"/>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Количество ответов,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Да </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41</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73,21</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Нет </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1</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1,79</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Не в полной мере</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14</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25,00</w:t>
            </w:r>
          </w:p>
        </w:tc>
      </w:tr>
    </w:tbl>
    <w:p w:rsidR="006A7AB3" w:rsidRPr="006A7AB3" w:rsidRDefault="006A7AB3" w:rsidP="006A7AB3">
      <w:pPr>
        <w:spacing w:after="0"/>
        <w:ind w:firstLine="36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Как видим, 73,2 % респондентов дают положительный ответ на этот вопрос.</w:t>
      </w:r>
    </w:p>
    <w:p w:rsidR="006A7AB3" w:rsidRDefault="006A7AB3" w:rsidP="006A7AB3">
      <w:pPr>
        <w:spacing w:after="0"/>
        <w:ind w:firstLine="36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Отвечая на вопрос о формах осуществления методической работы по проблематике воспитательной системы, следуя данным нижеприведенной таблицы, приоритетными формами названы школьное методическое общество – 96%.</w:t>
      </w:r>
    </w:p>
    <w:p w:rsidR="006A7AB3" w:rsidRPr="006A7AB3" w:rsidRDefault="006A7AB3" w:rsidP="006A7AB3">
      <w:pPr>
        <w:spacing w:after="0"/>
        <w:ind w:firstLine="360"/>
        <w:jc w:val="both"/>
        <w:rPr>
          <w:rFonts w:ascii="Times New Roman" w:eastAsia="Calibri" w:hAnsi="Times New Roman" w:cs="Times New Roman"/>
          <w:sz w:val="28"/>
          <w:szCs w:val="28"/>
        </w:rPr>
      </w:pPr>
    </w:p>
    <w:p w:rsidR="006A7AB3" w:rsidRPr="006A7AB3" w:rsidRDefault="006A7AB3" w:rsidP="006A7AB3">
      <w:pPr>
        <w:spacing w:after="160" w:line="256" w:lineRule="auto"/>
        <w:ind w:left="375"/>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6.3.В каких формах осуществляется методическая работа с педагогами по проблематике воспитательной системы</w:t>
      </w:r>
    </w:p>
    <w:p w:rsidR="006A7AB3" w:rsidRPr="006A7AB3" w:rsidRDefault="006A7AB3" w:rsidP="006A7AB3">
      <w:pPr>
        <w:spacing w:after="160" w:line="256" w:lineRule="auto"/>
        <w:ind w:left="375"/>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3115"/>
        <w:gridCol w:w="2834"/>
        <w:gridCol w:w="3396"/>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Школьное методическое объединение</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54</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96,43</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Школьная творческая группа</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25</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44,64</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Межшкольное объединение педагогов</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11</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19,64</w:t>
            </w:r>
          </w:p>
        </w:tc>
      </w:tr>
    </w:tbl>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 предложенным в мониторинге формам школами были дополнительно указаны те формы методической работы, которые осуществляет районный методический кабинет, это:</w:t>
      </w:r>
    </w:p>
    <w:p w:rsidR="006A7AB3" w:rsidRPr="006A7AB3" w:rsidRDefault="006A7AB3" w:rsidP="006A7AB3">
      <w:pPr>
        <w:numPr>
          <w:ilvl w:val="0"/>
          <w:numId w:val="4"/>
        </w:numPr>
        <w:spacing w:after="16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система районных семинаров;</w:t>
      </w:r>
    </w:p>
    <w:p w:rsidR="006A7AB3" w:rsidRPr="006A7AB3" w:rsidRDefault="006A7AB3" w:rsidP="006A7AB3">
      <w:pPr>
        <w:numPr>
          <w:ilvl w:val="0"/>
          <w:numId w:val="4"/>
        </w:numPr>
        <w:spacing w:after="16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круглые столы по определённым проблемам;</w:t>
      </w:r>
    </w:p>
    <w:p w:rsidR="006A7AB3" w:rsidRPr="006A7AB3" w:rsidRDefault="006A7AB3" w:rsidP="006A7AB3">
      <w:pPr>
        <w:numPr>
          <w:ilvl w:val="0"/>
          <w:numId w:val="4"/>
        </w:numPr>
        <w:spacing w:after="16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кластерные методические объединения по направлениям;</w:t>
      </w:r>
    </w:p>
    <w:p w:rsidR="006A7AB3" w:rsidRPr="006A7AB3" w:rsidRDefault="006A7AB3" w:rsidP="006A7AB3">
      <w:pPr>
        <w:numPr>
          <w:ilvl w:val="0"/>
          <w:numId w:val="4"/>
        </w:numPr>
        <w:spacing w:after="0"/>
        <w:contextualSpacing/>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дни методической учебы.</w:t>
      </w:r>
    </w:p>
    <w:p w:rsidR="006A7AB3" w:rsidRPr="006A7AB3" w:rsidRDefault="006A7AB3" w:rsidP="006A7AB3">
      <w:pPr>
        <w:spacing w:after="0"/>
        <w:ind w:firstLine="360"/>
        <w:jc w:val="both"/>
        <w:rPr>
          <w:rFonts w:ascii="Times New Roman" w:hAnsi="Times New Roman" w:cs="Times New Roman"/>
          <w:sz w:val="28"/>
          <w:szCs w:val="28"/>
        </w:rPr>
      </w:pPr>
      <w:r w:rsidRPr="006A7AB3">
        <w:rPr>
          <w:rFonts w:ascii="Times New Roman" w:hAnsi="Times New Roman" w:cs="Times New Roman"/>
          <w:sz w:val="28"/>
          <w:szCs w:val="28"/>
        </w:rPr>
        <w:t>Целый ряд школ указали влияние на методическое сопровождение своих педагогов  Ярмарки инновационных продуктов, которая ежегодно проводится в  ГАОУ ДПО «ЛОИРО».</w:t>
      </w:r>
    </w:p>
    <w:p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lastRenderedPageBreak/>
        <w:t>6.4. Участие педагогов школы в сетевых сообществах</w:t>
      </w:r>
    </w:p>
    <w:p w:rsidR="006A7AB3" w:rsidRDefault="006A7AB3" w:rsidP="006A7AB3">
      <w:pPr>
        <w:spacing w:after="160" w:line="256" w:lineRule="auto"/>
        <w:contextualSpacing/>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да</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44</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78,57</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нет</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12</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21,43</w:t>
            </w:r>
          </w:p>
        </w:tc>
      </w:tr>
    </w:tbl>
    <w:p w:rsidR="006A7AB3" w:rsidRPr="006A7AB3" w:rsidRDefault="006A7AB3" w:rsidP="006A7AB3">
      <w:pPr>
        <w:spacing w:after="160" w:line="256" w:lineRule="auto"/>
        <w:ind w:firstLine="375"/>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Как видно из данных таблицы сетевой способ взаимодействия имеет широкое распространение, востребован современными педагогами, что является показателем осознанного поиска способов решения стоящих задач. Конкретный перечень таких сетевых сообществ представлен в таблице 6.5.</w:t>
      </w:r>
    </w:p>
    <w:p w:rsidR="006A7AB3" w:rsidRPr="006A7AB3" w:rsidRDefault="006A7AB3" w:rsidP="006A7AB3">
      <w:p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6.5. Перечень сетевых профессиональных педагогических сообществ, с которыми взаимодействуют педагоги</w:t>
      </w:r>
    </w:p>
    <w:p w:rsidR="006A7AB3" w:rsidRPr="006A7AB3" w:rsidRDefault="006A7AB3" w:rsidP="006A7AB3">
      <w:pPr>
        <w:spacing w:after="0" w:line="240" w:lineRule="auto"/>
        <w:contextualSpacing/>
        <w:jc w:val="center"/>
        <w:rPr>
          <w:rFonts w:ascii="Times New Roman" w:eastAsia="Times New Roman" w:hAnsi="Times New Roman" w:cs="Times New Roman"/>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8"/>
      </w:tblGrid>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"Педсоветorg ",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Фестиваль педагогических идей «Открытый урок»</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Дистанционный Образовательный Портал «Продленка»</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Завуч.,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Инфоурок.ру 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ПроШколу.ру</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Дневник.ру,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"Проектория»0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школа", 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"Обучонок</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уроков",</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"Сетевичок",  "Совушка"</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Мультиурок</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Открытый класс,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Одарённые дети", 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Сеть творческих учителей, др.</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олимпиада школьников",0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"Первое сентября",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России",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общеобразовательный портал: www.school.edu.ru 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районные методические объединения учителей - предметников</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Ассоциация школьных музеев 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Социальная сеть работников образования nsportal.ru, UROKI.NET,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Цифровое образование,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ассоциация библиотекарей района</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Campus.ru, UROKI.NET, Учи.ру</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лига школьного спорта;nsportal.ru 0</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Всероссийское педагогическое собрание; nsportal.ru</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Российское движение школьников,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31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ЯКласс,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7AB3" w:rsidTr="006A7AB3">
        <w:trPr>
          <w:trHeight w:val="25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Zасобой.ру; </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A7AB3" w:rsidTr="006A7AB3">
        <w:trPr>
          <w:trHeight w:val="25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"Методисты.ру"</w:t>
            </w:r>
          </w:p>
        </w:tc>
        <w:tc>
          <w:tcPr>
            <w:tcW w:w="336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A7AB3" w:rsidTr="006A7AB3">
        <w:trPr>
          <w:trHeight w:val="255"/>
        </w:trPr>
        <w:tc>
          <w:tcPr>
            <w:tcW w:w="6487" w:type="dxa"/>
            <w:tcBorders>
              <w:top w:val="single" w:sz="4" w:space="0" w:color="auto"/>
              <w:left w:val="single" w:sz="4" w:space="0" w:color="auto"/>
              <w:bottom w:val="single" w:sz="4" w:space="0" w:color="auto"/>
              <w:right w:val="single" w:sz="4" w:space="0" w:color="auto"/>
            </w:tcBorders>
            <w:noWrap/>
            <w:vAlign w:val="bottom"/>
            <w:hideMark/>
          </w:tcPr>
          <w:p w:rsidR="006A7AB3" w:rsidRDefault="006A7A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Группы Вконтакте: РМО педагогов-психологов Всеволожского района; РМО классный руководителей Всеволожского района; ДДЮТ Всеволожского района; ГАОУ ДПО ЛОИРО; МО классный руководителей Гарболовской школы; Управляющий Совет «Гарболовская СОШ»; Гарболовская школа; Куйвозовская школа; и т.д.</w:t>
            </w:r>
          </w:p>
        </w:tc>
        <w:tc>
          <w:tcPr>
            <w:tcW w:w="3368"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rPr>
                <w:rFonts w:ascii="Times New Roman" w:eastAsia="Times New Roman" w:hAnsi="Times New Roman" w:cs="Times New Roman"/>
                <w:sz w:val="24"/>
                <w:szCs w:val="24"/>
                <w:lang w:eastAsia="ru-RU"/>
              </w:rPr>
            </w:pPr>
          </w:p>
        </w:tc>
      </w:tr>
    </w:tbl>
    <w:p w:rsidR="006A7AB3" w:rsidRDefault="006A7AB3" w:rsidP="006A7AB3">
      <w:pPr>
        <w:spacing w:after="0" w:line="240" w:lineRule="auto"/>
        <w:jc w:val="both"/>
        <w:rPr>
          <w:rFonts w:ascii="Times New Roman" w:hAnsi="Times New Roman" w:cs="Times New Roman"/>
          <w:b/>
          <w:sz w:val="28"/>
          <w:szCs w:val="28"/>
        </w:rPr>
      </w:pPr>
    </w:p>
    <w:p w:rsidR="006A7AB3" w:rsidRPr="006A7AB3" w:rsidRDefault="006A7AB3" w:rsidP="006A7AB3">
      <w:pPr>
        <w:spacing w:after="0"/>
        <w:ind w:firstLine="375"/>
        <w:jc w:val="both"/>
        <w:rPr>
          <w:rFonts w:ascii="Times New Roman" w:hAnsi="Times New Roman" w:cs="Times New Roman"/>
          <w:sz w:val="28"/>
          <w:szCs w:val="28"/>
        </w:rPr>
      </w:pPr>
      <w:r w:rsidRPr="006A7AB3">
        <w:rPr>
          <w:rFonts w:ascii="Times New Roman" w:hAnsi="Times New Roman" w:cs="Times New Roman"/>
          <w:sz w:val="28"/>
          <w:szCs w:val="28"/>
        </w:rPr>
        <w:t>Уже сам перечень сетевых-онлайн сообществ, в который вошли 32 их наименования,  свидетельствует о разносторонних интересах педагогов. Важно отметить пример Гарболовской школы Всеволожского района, которая показала сетевые сообщества на муниципальном уровне.</w:t>
      </w:r>
    </w:p>
    <w:p w:rsidR="006A7AB3" w:rsidRPr="006A7AB3" w:rsidRDefault="006A7AB3" w:rsidP="006A7AB3">
      <w:pPr>
        <w:spacing w:after="0"/>
        <w:jc w:val="both"/>
        <w:rPr>
          <w:rFonts w:ascii="Times New Roman" w:hAnsi="Times New Roman" w:cs="Times New Roman"/>
          <w:sz w:val="28"/>
          <w:szCs w:val="28"/>
        </w:rPr>
      </w:pPr>
      <w:r w:rsidRPr="006A7AB3">
        <w:rPr>
          <w:rFonts w:ascii="Times New Roman" w:hAnsi="Times New Roman" w:cs="Times New Roman"/>
          <w:b/>
          <w:sz w:val="28"/>
          <w:szCs w:val="28"/>
        </w:rPr>
        <w:tab/>
      </w:r>
      <w:r w:rsidRPr="006A7AB3">
        <w:rPr>
          <w:rFonts w:ascii="Times New Roman" w:hAnsi="Times New Roman" w:cs="Times New Roman"/>
          <w:sz w:val="28"/>
          <w:szCs w:val="28"/>
        </w:rPr>
        <w:t>Естественно, что индивидуальный самостоятельный поиск ответов на интересующие вопросы не регулируется со стороны администрации. Такая заинтересованная позиция педагогов, безусловно, влияет на профессиональные компетенции, но не может заменить системное обучение. В связи с этим в рамки мониторинга был включён ряд вопросов о повышении квалификации.</w:t>
      </w:r>
    </w:p>
    <w:p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 xml:space="preserve">6.6. Система повышения квалификации по проблематике </w:t>
      </w:r>
    </w:p>
    <w:p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воспитательной системы на уровне региона</w:t>
      </w:r>
    </w:p>
    <w:p w:rsidR="006A7AB3" w:rsidRDefault="006A7AB3" w:rsidP="006A7AB3">
      <w:pPr>
        <w:spacing w:after="160" w:line="256" w:lineRule="auto"/>
        <w:contextualSpacing/>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да</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47</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83,93</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нет</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9</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16,07</w:t>
            </w:r>
          </w:p>
        </w:tc>
      </w:tr>
    </w:tbl>
    <w:p w:rsidR="006A7AB3" w:rsidRDefault="006A7AB3" w:rsidP="006A7AB3">
      <w:pPr>
        <w:spacing w:after="160" w:line="256" w:lineRule="auto"/>
        <w:jc w:val="both"/>
        <w:rPr>
          <w:rFonts w:ascii="Times New Roman" w:eastAsia="Calibri" w:hAnsi="Times New Roman" w:cs="Times New Roman"/>
          <w:b/>
          <w:sz w:val="24"/>
          <w:szCs w:val="24"/>
        </w:rPr>
      </w:pPr>
    </w:p>
    <w:p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6.7. Система повышения квалификации по проблематике воспитательной системы на федеральном уровне</w:t>
      </w:r>
    </w:p>
    <w:p w:rsidR="006A7AB3" w:rsidRPr="006A7AB3" w:rsidRDefault="006A7AB3" w:rsidP="006A7AB3">
      <w:pPr>
        <w:spacing w:after="160" w:line="256" w:lineRule="auto"/>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3115"/>
        <w:gridCol w:w="2834"/>
        <w:gridCol w:w="3396"/>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да</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13</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23,21</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нет</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43</w:t>
            </w:r>
          </w:p>
        </w:tc>
        <w:tc>
          <w:tcPr>
            <w:tcW w:w="3396" w:type="dxa"/>
            <w:tcBorders>
              <w:top w:val="single" w:sz="4" w:space="0" w:color="auto"/>
              <w:left w:val="single" w:sz="4" w:space="0" w:color="auto"/>
              <w:bottom w:val="single" w:sz="4" w:space="0" w:color="auto"/>
              <w:right w:val="single" w:sz="4" w:space="0" w:color="auto"/>
            </w:tcBorders>
            <w:vAlign w:val="bottom"/>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76,79</w:t>
            </w:r>
          </w:p>
        </w:tc>
      </w:tr>
    </w:tbl>
    <w:p w:rsidR="006A7AB3" w:rsidRDefault="006A7AB3" w:rsidP="006A7AB3">
      <w:pPr>
        <w:ind w:left="735"/>
        <w:contextualSpacing/>
        <w:jc w:val="both"/>
        <w:rPr>
          <w:rFonts w:ascii="Times New Roman" w:eastAsia="Times New Roman" w:hAnsi="Times New Roman" w:cs="Times New Roman"/>
          <w:b/>
          <w:sz w:val="24"/>
          <w:szCs w:val="24"/>
        </w:rPr>
      </w:pPr>
    </w:p>
    <w:p w:rsidR="006A7AB3" w:rsidRPr="006A7AB3" w:rsidRDefault="006A7AB3" w:rsidP="006A7AB3">
      <w:pPr>
        <w:ind w:firstLine="567"/>
        <w:jc w:val="both"/>
        <w:rPr>
          <w:rFonts w:ascii="Times New Roman" w:eastAsia="Times New Roman" w:hAnsi="Times New Roman" w:cs="Times New Roman"/>
          <w:sz w:val="28"/>
          <w:szCs w:val="28"/>
        </w:rPr>
      </w:pPr>
      <w:r w:rsidRPr="006A7AB3">
        <w:rPr>
          <w:rFonts w:ascii="Times New Roman" w:eastAsia="Times New Roman" w:hAnsi="Times New Roman" w:cs="Times New Roman"/>
          <w:sz w:val="28"/>
          <w:szCs w:val="28"/>
        </w:rPr>
        <w:t xml:space="preserve">Участие в курсах повышения квалификации можно рассматривать как предоставленную возможность педагогам школ в осмыслении способов решения современных задач воспитания. Однако в мониторинге предполагалось выявить не только использование возможностей повысить квалификацию, но и степень удовлетворённости курсовой подготовкой. </w:t>
      </w:r>
    </w:p>
    <w:p w:rsidR="006A7AB3" w:rsidRPr="006A7AB3" w:rsidRDefault="006A7AB3" w:rsidP="006A7AB3">
      <w:pPr>
        <w:spacing w:after="0" w:line="240" w:lineRule="auto"/>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lastRenderedPageBreak/>
        <w:t>6.8. Какова степень удовлетворенности педагогов формами повышения квалификации и методического сопровождения</w:t>
      </w:r>
    </w:p>
    <w:p w:rsidR="006A7AB3" w:rsidRDefault="006A7AB3" w:rsidP="006A7AB3">
      <w:pPr>
        <w:spacing w:after="0" w:line="240" w:lineRule="auto"/>
        <w:contextualSpacing/>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2970"/>
        <w:gridCol w:w="2384"/>
        <w:gridCol w:w="2257"/>
        <w:gridCol w:w="1734"/>
      </w:tblGrid>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Формы</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Высокая</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r>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Курсовая подготовка в ЛОИРО</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29 (51,79%)</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26 (46,43%)</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 (1,79%)</w:t>
            </w:r>
          </w:p>
        </w:tc>
      </w:tr>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Курсовая подготовка в других образовательных центрах СПб</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21 (37,50%)</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28 (50,00%)</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7 (12,50%)</w:t>
            </w:r>
          </w:p>
        </w:tc>
      </w:tr>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Курсовая подготовка в организациях высшего образования на уровне РФ</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31 (55,36%)</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22 (39,29%)</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 (5,36%)</w:t>
            </w:r>
          </w:p>
        </w:tc>
      </w:tr>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Семинары</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33 (58,93%)</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23 (41,07%)</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Конференции</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28 (50,00%)</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26 (46,43%)</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 (3,57%)</w:t>
            </w:r>
          </w:p>
        </w:tc>
      </w:tr>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Стажировки</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27 (48,21%)</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23 (41,07%)</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 (10,71%)</w:t>
            </w:r>
          </w:p>
        </w:tc>
      </w:tr>
      <w:tr w:rsidR="006A7AB3" w:rsidTr="006A7AB3">
        <w:tc>
          <w:tcPr>
            <w:tcW w:w="297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Школьные методические объединения</w:t>
            </w:r>
          </w:p>
        </w:tc>
        <w:tc>
          <w:tcPr>
            <w:tcW w:w="238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 (64,29%)</w:t>
            </w:r>
          </w:p>
        </w:tc>
        <w:tc>
          <w:tcPr>
            <w:tcW w:w="225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18 (32,14%)</w:t>
            </w:r>
          </w:p>
        </w:tc>
        <w:tc>
          <w:tcPr>
            <w:tcW w:w="17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 (3,57%)</w:t>
            </w:r>
          </w:p>
        </w:tc>
      </w:tr>
    </w:tbl>
    <w:p w:rsidR="006A7AB3" w:rsidRDefault="006A7AB3" w:rsidP="006A7AB3">
      <w:pPr>
        <w:spacing w:after="0" w:line="240" w:lineRule="auto"/>
        <w:contextualSpacing/>
        <w:jc w:val="both"/>
        <w:rPr>
          <w:rFonts w:ascii="Times New Roman" w:eastAsia="Calibri" w:hAnsi="Times New Roman" w:cs="Times New Roman"/>
          <w:sz w:val="24"/>
          <w:szCs w:val="24"/>
        </w:rPr>
      </w:pPr>
    </w:p>
    <w:p w:rsidR="006A7AB3" w:rsidRPr="006A7AB3" w:rsidRDefault="006A7AB3" w:rsidP="006A7AB3">
      <w:pPr>
        <w:spacing w:after="0"/>
        <w:jc w:val="both"/>
        <w:rPr>
          <w:rFonts w:ascii="Times New Roman" w:hAnsi="Times New Roman" w:cs="Times New Roman"/>
          <w:sz w:val="28"/>
          <w:szCs w:val="28"/>
        </w:rPr>
      </w:pPr>
      <w:r>
        <w:rPr>
          <w:rFonts w:ascii="Times New Roman" w:hAnsi="Times New Roman" w:cs="Times New Roman"/>
          <w:b/>
          <w:sz w:val="28"/>
          <w:szCs w:val="28"/>
        </w:rPr>
        <w:tab/>
      </w:r>
      <w:r w:rsidRPr="006A7AB3">
        <w:rPr>
          <w:rFonts w:ascii="Times New Roman" w:hAnsi="Times New Roman" w:cs="Times New Roman"/>
          <w:sz w:val="28"/>
          <w:szCs w:val="28"/>
        </w:rPr>
        <w:t>Спектр оценок позволяет говорить о том, что ни одна форма повышения квалификации не имеет большого преимущества. Наиболее высоко педагоги оценивают школьные методические объединения, т.к. на них рассматриваются конкретные вопросы повседневной практики. Второе место получили семинары, что объясняется практикоориентированным содержанием и интерактивными технологиями их проведения.</w:t>
      </w:r>
    </w:p>
    <w:p w:rsidR="006A7AB3" w:rsidRPr="006A7AB3" w:rsidRDefault="006A7AB3" w:rsidP="006A7AB3">
      <w:pPr>
        <w:spacing w:after="0"/>
        <w:jc w:val="both"/>
        <w:rPr>
          <w:rFonts w:ascii="Times New Roman" w:hAnsi="Times New Roman" w:cs="Times New Roman"/>
          <w:sz w:val="28"/>
          <w:szCs w:val="28"/>
        </w:rPr>
      </w:pPr>
      <w:r w:rsidRPr="006A7AB3">
        <w:rPr>
          <w:rFonts w:ascii="Times New Roman" w:hAnsi="Times New Roman" w:cs="Times New Roman"/>
          <w:sz w:val="28"/>
          <w:szCs w:val="28"/>
        </w:rPr>
        <w:tab/>
        <w:t xml:space="preserve"> Участие в конференциях получило высокую степень признания. Это очень важная тенденция, отражающая интерес к научному знанию, а также возможность познакомиться с реальными представителями передового опыта. Обобщая количество высоких и средних оценок удовлетворённости повышением квалификации, можно считать, что полученные в ходе курсовой подготовки компетенции оказывают влияние на состояние воспитательных систем.</w:t>
      </w:r>
    </w:p>
    <w:p w:rsidR="006A7AB3" w:rsidRPr="006A7AB3" w:rsidRDefault="006A7AB3" w:rsidP="006A7AB3">
      <w:pPr>
        <w:spacing w:after="0"/>
        <w:ind w:firstLine="709"/>
        <w:jc w:val="both"/>
        <w:rPr>
          <w:rFonts w:ascii="Times New Roman" w:hAnsi="Times New Roman" w:cs="Times New Roman"/>
          <w:sz w:val="28"/>
          <w:szCs w:val="28"/>
        </w:rPr>
      </w:pPr>
      <w:r w:rsidRPr="006A7AB3">
        <w:rPr>
          <w:rFonts w:ascii="Times New Roman" w:hAnsi="Times New Roman" w:cs="Times New Roman"/>
          <w:sz w:val="28"/>
          <w:szCs w:val="28"/>
        </w:rPr>
        <w:t>Данные этих таблиц позволяют установить некое соответствие между количеством обученных педагогов и достаточно высокими показателями в ответах в целом ряде вопросов анкеты в 41-43 школах. Система методической работы позволяет вовлечь педагогов в процесс развития воспитательной системы, что в свою очередь, обеспечивает влияние ценностного поля воспитательной системы на их профессиональную компетентность, о чем свидетельствуют данные таблицы 6.9.</w:t>
      </w:r>
    </w:p>
    <w:p w:rsidR="006A7AB3" w:rsidRPr="006A7AB3" w:rsidRDefault="006A7AB3" w:rsidP="006A7AB3">
      <w:pPr>
        <w:spacing w:after="0" w:line="240" w:lineRule="auto"/>
        <w:ind w:left="708"/>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6.9. Влияние ценностного поля воспитательной системы</w:t>
      </w:r>
    </w:p>
    <w:p w:rsidR="006A7AB3" w:rsidRPr="006A7AB3" w:rsidRDefault="006A7AB3" w:rsidP="006A7AB3">
      <w:pPr>
        <w:spacing w:after="0" w:line="240" w:lineRule="auto"/>
        <w:ind w:left="708"/>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на профессиональную компетентность педагогов</w:t>
      </w:r>
    </w:p>
    <w:p w:rsidR="006A7AB3" w:rsidRDefault="006A7AB3" w:rsidP="006A7AB3">
      <w:pPr>
        <w:spacing w:after="160" w:line="256" w:lineRule="auto"/>
        <w:ind w:left="708"/>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653"/>
        <w:gridCol w:w="3926"/>
        <w:gridCol w:w="1581"/>
        <w:gridCol w:w="1510"/>
        <w:gridCol w:w="1675"/>
      </w:tblGrid>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lastRenderedPageBreak/>
              <w:t>№</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Критерий оценки</w:t>
            </w:r>
          </w:p>
        </w:tc>
        <w:tc>
          <w:tcPr>
            <w:tcW w:w="160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полностью</w:t>
            </w:r>
          </w:p>
        </w:tc>
        <w:tc>
          <w:tcPr>
            <w:tcW w:w="153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частично</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Выражен слабо</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Профессиональная компетентность педагогов соответствует заявленной концепции воспитания</w:t>
            </w:r>
          </w:p>
        </w:tc>
        <w:tc>
          <w:tcPr>
            <w:tcW w:w="160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40 (71,43%)</w:t>
            </w:r>
          </w:p>
        </w:tc>
        <w:tc>
          <w:tcPr>
            <w:tcW w:w="153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16 (28,57%)</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Профессиональная квалификация позволяет решать задачи воспитания, опираясь на концептуальные положения</w:t>
            </w:r>
          </w:p>
        </w:tc>
        <w:tc>
          <w:tcPr>
            <w:tcW w:w="160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40 (71,43%)</w:t>
            </w:r>
          </w:p>
        </w:tc>
        <w:tc>
          <w:tcPr>
            <w:tcW w:w="153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16 (28,57%)</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67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Ценностно-смысловая сплоченность педагогического коллектива обеспечивает устойчивое функционирование ВС</w:t>
            </w:r>
          </w:p>
        </w:tc>
        <w:tc>
          <w:tcPr>
            <w:tcW w:w="160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39 (69,64%)</w:t>
            </w:r>
          </w:p>
        </w:tc>
        <w:tc>
          <w:tcPr>
            <w:tcW w:w="153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16 (28,57%)</w:t>
            </w:r>
          </w:p>
        </w:tc>
        <w:tc>
          <w:tcPr>
            <w:tcW w:w="172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 (1,79%)</w:t>
            </w:r>
          </w:p>
        </w:tc>
      </w:tr>
    </w:tbl>
    <w:p w:rsidR="006A7AB3" w:rsidRDefault="006A7AB3" w:rsidP="006A7AB3">
      <w:pPr>
        <w:spacing w:after="0" w:line="240" w:lineRule="auto"/>
        <w:ind w:left="708"/>
        <w:jc w:val="both"/>
        <w:rPr>
          <w:rFonts w:ascii="Times New Roman" w:hAnsi="Times New Roman" w:cs="Times New Roman"/>
          <w:b/>
          <w:sz w:val="28"/>
          <w:szCs w:val="28"/>
        </w:rPr>
      </w:pPr>
    </w:p>
    <w:p w:rsidR="006A7AB3" w:rsidRPr="006A7AB3" w:rsidRDefault="006A7AB3" w:rsidP="006A7AB3">
      <w:pPr>
        <w:spacing w:after="0"/>
        <w:jc w:val="both"/>
        <w:rPr>
          <w:rFonts w:ascii="Times New Roman" w:hAnsi="Times New Roman" w:cs="Times New Roman"/>
          <w:sz w:val="28"/>
          <w:szCs w:val="28"/>
        </w:rPr>
      </w:pPr>
      <w:r>
        <w:rPr>
          <w:rFonts w:ascii="Times New Roman" w:hAnsi="Times New Roman" w:cs="Times New Roman"/>
          <w:sz w:val="28"/>
          <w:szCs w:val="28"/>
        </w:rPr>
        <w:tab/>
      </w:r>
      <w:r w:rsidRPr="006A7AB3">
        <w:rPr>
          <w:rFonts w:ascii="Times New Roman" w:hAnsi="Times New Roman" w:cs="Times New Roman"/>
          <w:sz w:val="28"/>
          <w:szCs w:val="28"/>
        </w:rPr>
        <w:t xml:space="preserve">Как свидетельствуют данные таблицы, более 70% респондентов дают согласие с тем, что профессиональная компетентность педагогов соответствует заявленной концепции воспитания, что профессиональная квалификация позволяет решать задачи воспитания. 69% из опрошенных утверждают, что ценностно – смысловая сплоченность педагогического коллектива обеспечивает устойчивое функционирование ВС. </w:t>
      </w:r>
    </w:p>
    <w:p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t>В то же время, полученные данные вновь подтвержают неверность первоначального утверждения о том, что только 3 учреждения находятся на этапе становления воспитательной системы. Как показывает анализ таких организаций не менее 16 из числа участвующих в мониторинге.</w:t>
      </w:r>
    </w:p>
    <w:p w:rsidR="006A7AB3" w:rsidRPr="006A7AB3" w:rsidRDefault="006A7AB3" w:rsidP="006A7AB3">
      <w:pPr>
        <w:spacing w:after="0" w:line="240" w:lineRule="auto"/>
        <w:jc w:val="center"/>
        <w:rPr>
          <w:rFonts w:ascii="Times New Roman" w:hAnsi="Times New Roman" w:cs="Times New Roman"/>
          <w:b/>
          <w:sz w:val="28"/>
          <w:szCs w:val="28"/>
        </w:rPr>
      </w:pPr>
      <w:r w:rsidRPr="006A7AB3">
        <w:rPr>
          <w:rFonts w:ascii="Times New Roman" w:hAnsi="Times New Roman" w:cs="Times New Roman"/>
          <w:b/>
          <w:sz w:val="28"/>
          <w:szCs w:val="28"/>
        </w:rPr>
        <w:t>7. Открытость воспитательной системы:</w:t>
      </w:r>
    </w:p>
    <w:p w:rsidR="006A7AB3" w:rsidRPr="006A7AB3" w:rsidRDefault="006A7AB3" w:rsidP="006A7AB3">
      <w:pPr>
        <w:spacing w:after="0" w:line="240" w:lineRule="auto"/>
        <w:jc w:val="center"/>
        <w:rPr>
          <w:rFonts w:ascii="Times New Roman" w:hAnsi="Times New Roman" w:cs="Times New Roman"/>
          <w:b/>
          <w:sz w:val="28"/>
          <w:szCs w:val="28"/>
        </w:rPr>
      </w:pPr>
      <w:r w:rsidRPr="006A7AB3">
        <w:rPr>
          <w:rFonts w:ascii="Times New Roman" w:hAnsi="Times New Roman" w:cs="Times New Roman"/>
          <w:b/>
          <w:sz w:val="28"/>
          <w:szCs w:val="28"/>
        </w:rPr>
        <w:t>состояние внешних связей</w:t>
      </w:r>
    </w:p>
    <w:p w:rsidR="006A7AB3" w:rsidRDefault="006A7AB3" w:rsidP="006A7AB3">
      <w:pPr>
        <w:spacing w:after="0" w:line="240" w:lineRule="auto"/>
        <w:jc w:val="center"/>
        <w:rPr>
          <w:rFonts w:ascii="Times New Roman" w:hAnsi="Times New Roman" w:cs="Times New Roman"/>
          <w:b/>
          <w:sz w:val="24"/>
          <w:szCs w:val="24"/>
        </w:rPr>
      </w:pPr>
    </w:p>
    <w:p w:rsidR="006A7AB3" w:rsidRPr="006A7AB3" w:rsidRDefault="006A7AB3" w:rsidP="006A7AB3">
      <w:pPr>
        <w:spacing w:after="0" w:line="240" w:lineRule="auto"/>
        <w:ind w:firstLine="708"/>
        <w:jc w:val="both"/>
        <w:rPr>
          <w:rFonts w:ascii="Times New Roman" w:hAnsi="Times New Roman" w:cs="Times New Roman"/>
          <w:sz w:val="28"/>
          <w:szCs w:val="28"/>
        </w:rPr>
      </w:pPr>
      <w:r w:rsidRPr="006A7AB3">
        <w:rPr>
          <w:rFonts w:ascii="Times New Roman" w:hAnsi="Times New Roman" w:cs="Times New Roman"/>
          <w:sz w:val="28"/>
          <w:szCs w:val="28"/>
        </w:rPr>
        <w:t>При первоначальной оценке открытости воспитательной системы как компонента воспитательной системы 43 школы (76,8 %) показали, что этот компонент у них разработан полностью, 13 школ (23 %) сказали о частичной его разработке.  Дополнительное исследование позволило ответить на вопрос благодаря чему состоялись такие утверждения. Были предложены вопросы, раскрывающие особенности взаимодействия школ с объектами окружающей среды, а также включением родителей в совместную работу со школой.</w:t>
      </w:r>
    </w:p>
    <w:p w:rsidR="006A7AB3" w:rsidRPr="006A7AB3" w:rsidRDefault="006A7AB3" w:rsidP="006A7AB3">
      <w:pPr>
        <w:spacing w:after="0" w:line="240" w:lineRule="auto"/>
        <w:ind w:firstLine="708"/>
        <w:jc w:val="both"/>
        <w:rPr>
          <w:rFonts w:ascii="Times New Roman" w:hAnsi="Times New Roman" w:cs="Times New Roman"/>
          <w:sz w:val="28"/>
          <w:szCs w:val="28"/>
        </w:rPr>
      </w:pPr>
    </w:p>
    <w:p w:rsidR="006A7AB3" w:rsidRPr="006A7AB3" w:rsidRDefault="006A7AB3" w:rsidP="006A7AB3">
      <w:pPr>
        <w:spacing w:after="160" w:line="256" w:lineRule="auto"/>
        <w:jc w:val="center"/>
        <w:rPr>
          <w:rFonts w:ascii="Times New Roman" w:eastAsia="Calibri" w:hAnsi="Times New Roman" w:cs="Times New Roman"/>
          <w:b/>
          <w:sz w:val="28"/>
          <w:szCs w:val="28"/>
        </w:rPr>
      </w:pPr>
      <w:r w:rsidRPr="006A7AB3">
        <w:rPr>
          <w:rFonts w:ascii="Times New Roman" w:eastAsia="Calibri" w:hAnsi="Times New Roman" w:cs="Times New Roman"/>
          <w:b/>
          <w:sz w:val="28"/>
          <w:szCs w:val="28"/>
        </w:rPr>
        <w:t>7.1. Значимые объекты окружающей среды, которые используются в воспитательной деятельности образовательной организации</w:t>
      </w:r>
    </w:p>
    <w:p w:rsidR="006A7AB3" w:rsidRDefault="006A7AB3" w:rsidP="006A7AB3">
      <w:pPr>
        <w:spacing w:after="160" w:line="256" w:lineRule="auto"/>
        <w:jc w:val="both"/>
        <w:rPr>
          <w:rFonts w:ascii="Times New Roman" w:eastAsia="Calibri" w:hAnsi="Times New Roman" w:cs="Times New Roman"/>
          <w:b/>
          <w:sz w:val="24"/>
          <w:szCs w:val="24"/>
        </w:rPr>
      </w:pPr>
    </w:p>
    <w:tbl>
      <w:tblPr>
        <w:tblW w:w="0" w:type="auto"/>
        <w:tblLook w:val="04A0" w:firstRow="1" w:lastRow="0" w:firstColumn="1" w:lastColumn="0" w:noHBand="0" w:noVBand="1"/>
      </w:tblPr>
      <w:tblGrid>
        <w:gridCol w:w="2864"/>
        <w:gridCol w:w="2199"/>
        <w:gridCol w:w="2303"/>
        <w:gridCol w:w="1979"/>
      </w:tblGrid>
      <w:tr w:rsidR="006A7AB3" w:rsidTr="006A7AB3">
        <w:tc>
          <w:tcPr>
            <w:tcW w:w="298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Объекты окружающей среды </w:t>
            </w:r>
          </w:p>
        </w:tc>
        <w:tc>
          <w:tcPr>
            <w:tcW w:w="237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23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21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r>
      <w:tr w:rsidR="006A7AB3" w:rsidTr="006A7AB3">
        <w:tc>
          <w:tcPr>
            <w:tcW w:w="298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Производственные</w:t>
            </w:r>
          </w:p>
        </w:tc>
        <w:tc>
          <w:tcPr>
            <w:tcW w:w="237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21 (37,50%)</w:t>
            </w:r>
          </w:p>
        </w:tc>
        <w:tc>
          <w:tcPr>
            <w:tcW w:w="23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34 (60,71%)</w:t>
            </w:r>
          </w:p>
        </w:tc>
        <w:tc>
          <w:tcPr>
            <w:tcW w:w="21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 (1,79%)</w:t>
            </w:r>
          </w:p>
        </w:tc>
      </w:tr>
      <w:tr w:rsidR="006A7AB3" w:rsidTr="006A7AB3">
        <w:tc>
          <w:tcPr>
            <w:tcW w:w="298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Природные объекты</w:t>
            </w:r>
          </w:p>
        </w:tc>
        <w:tc>
          <w:tcPr>
            <w:tcW w:w="237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 (75,00%)</w:t>
            </w:r>
          </w:p>
        </w:tc>
        <w:tc>
          <w:tcPr>
            <w:tcW w:w="23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14 (25,00%)</w:t>
            </w:r>
          </w:p>
        </w:tc>
        <w:tc>
          <w:tcPr>
            <w:tcW w:w="21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298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Объекты культуры</w:t>
            </w:r>
          </w:p>
        </w:tc>
        <w:tc>
          <w:tcPr>
            <w:tcW w:w="237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49 (87,50%)</w:t>
            </w:r>
          </w:p>
        </w:tc>
        <w:tc>
          <w:tcPr>
            <w:tcW w:w="23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7 (12,50%)</w:t>
            </w:r>
          </w:p>
        </w:tc>
        <w:tc>
          <w:tcPr>
            <w:tcW w:w="21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298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lastRenderedPageBreak/>
              <w:t>Объекты истории</w:t>
            </w:r>
          </w:p>
        </w:tc>
        <w:tc>
          <w:tcPr>
            <w:tcW w:w="237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45 (80,36%)</w:t>
            </w:r>
          </w:p>
        </w:tc>
        <w:tc>
          <w:tcPr>
            <w:tcW w:w="238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10 (19,64%)</w:t>
            </w:r>
          </w:p>
        </w:tc>
        <w:tc>
          <w:tcPr>
            <w:tcW w:w="21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bl>
    <w:p w:rsidR="006A7AB3" w:rsidRDefault="006A7AB3" w:rsidP="006A7AB3">
      <w:pPr>
        <w:spacing w:after="0" w:line="240" w:lineRule="auto"/>
        <w:jc w:val="center"/>
        <w:rPr>
          <w:rFonts w:ascii="Times New Roman" w:hAnsi="Times New Roman" w:cs="Times New Roman"/>
          <w:b/>
          <w:sz w:val="28"/>
          <w:szCs w:val="28"/>
        </w:rPr>
      </w:pPr>
    </w:p>
    <w:p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Данные, представленные в таблице, говорят о наиболее частом использовании объектов культуры </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49 школ (87,5%). Опираясь на эти данные можно было бы предположить достаточно высокий уровень ориентации в поликультурном пространстве, но он составляет только 69, 64%. Такое соотношение предполагает пересмотр не только содержания взаимодействия с объектами культуры, но и методов воспитания, используемых в воспитательной системе.</w:t>
      </w:r>
    </w:p>
    <w:p w:rsidR="006A7AB3" w:rsidRPr="006A7AB3" w:rsidRDefault="006A7AB3" w:rsidP="006A7AB3">
      <w:pPr>
        <w:spacing w:after="0"/>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ab/>
        <w:t>Использование объектов истории в воспитании занимает значительное место в 45 школах</w:t>
      </w:r>
      <w:r w:rsidRPr="006A7AB3">
        <w:rPr>
          <w:rFonts w:ascii="Times New Roman" w:eastAsia="Calibri" w:hAnsi="Times New Roman" w:cs="Times New Roman"/>
          <w:b/>
          <w:sz w:val="28"/>
          <w:szCs w:val="28"/>
        </w:rPr>
        <w:t xml:space="preserve">, </w:t>
      </w:r>
      <w:r w:rsidRPr="006A7AB3">
        <w:rPr>
          <w:rFonts w:ascii="Times New Roman" w:eastAsia="Calibri" w:hAnsi="Times New Roman" w:cs="Times New Roman"/>
          <w:sz w:val="28"/>
          <w:szCs w:val="28"/>
        </w:rPr>
        <w:t xml:space="preserve">что коррелируется с данными диагностики по личностному развитию, где отношение к родине имеет устойчивую тенденцию к развитию позитивного отношения к отечеству. К сожалению, 10 школ редко взаимодействуют с объектами истории, что ставит вопрос о патриотическом воспитании. Знание истории территории проживания, очные или заочные контакты со значимыми объектами страны в целом, являются важнейшей составляющей процесса социализации. </w:t>
      </w:r>
    </w:p>
    <w:p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Недостаточный уровень взаимодействия с разными объектами окружающей среды свойственен для 10, а с природными объектами для 14 школ. Это тревожная цифра показывает недостаточную открытость воспитательной системы, где взросление ребёнка происходит преимущественно в стенах школы, а, следовательно, социальный опыт сильно деформирован.</w:t>
      </w:r>
    </w:p>
    <w:p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 xml:space="preserve">Особую проблему составляет взаимодействие с производственными объектами. Только 21 школа достаточно часто устанавливает связи с производственными объектами, а 34 школы делают это редко и 1 школа – никогда. Это одна из причин неподготовленности выпускников к трудовой деятельности. Перекос в ориентации на высшее образование, незнание условий труда, где образование может применяться, приводит к неспособности выстраивать жизненную перспективу с ориентацией на место проживания. </w:t>
      </w:r>
    </w:p>
    <w:p w:rsidR="006A7AB3" w:rsidRPr="006A7AB3" w:rsidRDefault="006A7AB3" w:rsidP="006A7AB3">
      <w:pPr>
        <w:spacing w:after="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Состояние производственной сферы в своём районе, в регионе, безусловно, не зависит от организационной структуры воспитательной системы, но и не снимает необходимости профориентационной работы. Характер использования объектов окружающей среды показывает необходимость в пересмотре форм и методов их использования в процессе воспитания. Контактность с окружающей средой имеет специфику в городских, поселковых и сельских школах, которая отражена в таблице 7.1.а.</w:t>
      </w:r>
    </w:p>
    <w:p w:rsidR="006A7AB3" w:rsidRPr="006A7AB3" w:rsidRDefault="006A7AB3" w:rsidP="006A7AB3">
      <w:pPr>
        <w:spacing w:after="0"/>
        <w:ind w:firstLine="708"/>
        <w:jc w:val="both"/>
        <w:rPr>
          <w:rFonts w:ascii="Times New Roman" w:eastAsia="Calibri" w:hAnsi="Times New Roman" w:cs="Times New Roman"/>
          <w:sz w:val="28"/>
          <w:szCs w:val="28"/>
        </w:rPr>
      </w:pPr>
    </w:p>
    <w:p w:rsidR="006A7AB3" w:rsidRPr="006A7AB3" w:rsidRDefault="006A7AB3" w:rsidP="006A7AB3">
      <w:pPr>
        <w:jc w:val="center"/>
        <w:rPr>
          <w:rFonts w:ascii="Times New Roman" w:hAnsi="Times New Roman" w:cs="Times New Roman"/>
          <w:b/>
          <w:sz w:val="28"/>
          <w:szCs w:val="28"/>
        </w:rPr>
      </w:pPr>
      <w:r w:rsidRPr="006A7AB3">
        <w:rPr>
          <w:rFonts w:ascii="Times New Roman" w:hAnsi="Times New Roman" w:cs="Times New Roman"/>
          <w:b/>
          <w:sz w:val="28"/>
          <w:szCs w:val="28"/>
        </w:rPr>
        <w:t>7.1.а Значимые объекты окружающей среды, которые используются в воспитательной деятельности образовательной организации</w:t>
      </w:r>
    </w:p>
    <w:p w:rsidR="006A7AB3" w:rsidRDefault="006A7AB3" w:rsidP="006A7AB3">
      <w:pPr>
        <w:spacing w:after="0" w:line="240" w:lineRule="auto"/>
        <w:jc w:val="center"/>
        <w:rPr>
          <w:rFonts w:ascii="Times New Roman" w:hAnsi="Times New Roman" w:cs="Times New Roman"/>
          <w:b/>
          <w:sz w:val="28"/>
          <w:szCs w:val="28"/>
        </w:rPr>
      </w:pPr>
    </w:p>
    <w:tbl>
      <w:tblPr>
        <w:tblW w:w="9600" w:type="dxa"/>
        <w:tblLayout w:type="fixed"/>
        <w:tblLook w:val="04A0" w:firstRow="1" w:lastRow="0" w:firstColumn="1" w:lastColumn="0" w:noHBand="0" w:noVBand="1"/>
      </w:tblPr>
      <w:tblGrid>
        <w:gridCol w:w="2234"/>
        <w:gridCol w:w="850"/>
        <w:gridCol w:w="851"/>
        <w:gridCol w:w="708"/>
        <w:gridCol w:w="850"/>
        <w:gridCol w:w="849"/>
        <w:gridCol w:w="709"/>
        <w:gridCol w:w="850"/>
        <w:gridCol w:w="849"/>
        <w:gridCol w:w="850"/>
      </w:tblGrid>
      <w:tr w:rsidR="006A7AB3" w:rsidTr="006A7AB3">
        <w:tc>
          <w:tcPr>
            <w:tcW w:w="2235"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2410"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2552"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w:t>
            </w:r>
          </w:p>
        </w:tc>
      </w:tr>
      <w:tr w:rsidR="006A7AB3" w:rsidTr="006A7AB3">
        <w:tc>
          <w:tcPr>
            <w:tcW w:w="223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Объекты окружающей среды </w:t>
            </w:r>
          </w:p>
        </w:tc>
        <w:tc>
          <w:tcPr>
            <w:tcW w:w="8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85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708"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c>
          <w:tcPr>
            <w:tcW w:w="85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8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709"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c>
          <w:tcPr>
            <w:tcW w:w="85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Часто</w:t>
            </w:r>
          </w:p>
        </w:tc>
        <w:tc>
          <w:tcPr>
            <w:tcW w:w="85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Редко</w:t>
            </w:r>
          </w:p>
        </w:tc>
        <w:tc>
          <w:tcPr>
            <w:tcW w:w="85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Никогда</w:t>
            </w:r>
          </w:p>
        </w:tc>
      </w:tr>
      <w:tr w:rsidR="006A7AB3" w:rsidTr="006A7AB3">
        <w:tc>
          <w:tcPr>
            <w:tcW w:w="223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Производственные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54,55</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45,45</w:t>
            </w:r>
          </w:p>
        </w:tc>
        <w:tc>
          <w:tcPr>
            <w:tcW w:w="70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78,95</w:t>
            </w:r>
          </w:p>
        </w:tc>
        <w:tc>
          <w:tcPr>
            <w:tcW w:w="7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42,31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53,85</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3,85</w:t>
            </w:r>
          </w:p>
        </w:tc>
      </w:tr>
      <w:tr w:rsidR="006A7AB3" w:rsidTr="006A7AB3">
        <w:tc>
          <w:tcPr>
            <w:tcW w:w="223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Природные объекты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81,82</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18,18</w:t>
            </w:r>
          </w:p>
        </w:tc>
        <w:tc>
          <w:tcPr>
            <w:tcW w:w="70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78,95</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69,23</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30,77</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223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Объекты культуры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90,91</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9,09</w:t>
            </w:r>
          </w:p>
        </w:tc>
        <w:tc>
          <w:tcPr>
            <w:tcW w:w="70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68,42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31,58</w:t>
            </w:r>
          </w:p>
        </w:tc>
        <w:tc>
          <w:tcPr>
            <w:tcW w:w="7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223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Объекты истории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90,91</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9,09</w:t>
            </w:r>
          </w:p>
        </w:tc>
        <w:tc>
          <w:tcPr>
            <w:tcW w:w="708"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63,16</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36,84</w:t>
            </w:r>
          </w:p>
        </w:tc>
        <w:tc>
          <w:tcPr>
            <w:tcW w:w="709"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88,46</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Arial" w:eastAsia="Times New Roman" w:hAnsi="Arial" w:cs="Arial"/>
                <w:sz w:val="20"/>
                <w:szCs w:val="20"/>
                <w:lang w:eastAsia="ru-RU"/>
              </w:rPr>
              <w:t>11,54</w:t>
            </w:r>
          </w:p>
        </w:tc>
        <w:tc>
          <w:tcPr>
            <w:tcW w:w="85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bl>
    <w:p w:rsidR="006A7AB3" w:rsidRDefault="006A7AB3" w:rsidP="006A7AB3">
      <w:pPr>
        <w:spacing w:after="0"/>
        <w:ind w:firstLine="709"/>
        <w:jc w:val="both"/>
        <w:rPr>
          <w:rFonts w:ascii="Times New Roman" w:eastAsia="Calibri" w:hAnsi="Times New Roman" w:cs="Times New Roman"/>
          <w:sz w:val="24"/>
          <w:szCs w:val="24"/>
        </w:rPr>
      </w:pPr>
    </w:p>
    <w:p w:rsidR="006A7AB3" w:rsidRPr="006A7AB3" w:rsidRDefault="006A7AB3" w:rsidP="006A7AB3">
      <w:pPr>
        <w:spacing w:after="0"/>
        <w:ind w:firstLine="709"/>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Сельские школы дают более высокий процент использования всех объектов окружающей среды по сравнению с поселковыми школами. Городские школы стопроцентно ориентированы на объекты культуры, а далее по нисходящей идут объекты истории и природы. В полной мере не используется в городах производственная база территории.</w:t>
      </w:r>
    </w:p>
    <w:p w:rsidR="006A7AB3" w:rsidRDefault="006A7AB3" w:rsidP="006A7AB3">
      <w:pPr>
        <w:spacing w:after="160"/>
        <w:ind w:firstLine="708"/>
        <w:jc w:val="both"/>
        <w:rPr>
          <w:rFonts w:ascii="Times New Roman" w:eastAsia="Calibri" w:hAnsi="Times New Roman" w:cs="Times New Roman"/>
          <w:sz w:val="28"/>
          <w:szCs w:val="28"/>
        </w:rPr>
      </w:pPr>
      <w:r w:rsidRPr="006A7AB3">
        <w:rPr>
          <w:rFonts w:ascii="Times New Roman" w:eastAsia="Calibri" w:hAnsi="Times New Roman" w:cs="Times New Roman"/>
          <w:sz w:val="28"/>
          <w:szCs w:val="28"/>
        </w:rPr>
        <w:t>Открытость воспитательной системы связана с участием родительской общественности в жизни школьного коллектива. Родительская общественность примерно одинаково участвует в жизни школы не зависимо от места проживания, что отражено в таблице 7.2.</w:t>
      </w:r>
    </w:p>
    <w:p w:rsidR="006A7AB3" w:rsidRPr="006A7AB3" w:rsidRDefault="006A7AB3" w:rsidP="006A7AB3">
      <w:pPr>
        <w:spacing w:after="160"/>
        <w:ind w:firstLine="708"/>
        <w:jc w:val="both"/>
        <w:rPr>
          <w:rFonts w:ascii="Times New Roman" w:hAnsi="Times New Roman" w:cs="Times New Roman"/>
          <w:b/>
          <w:sz w:val="28"/>
          <w:szCs w:val="28"/>
        </w:rPr>
      </w:pPr>
    </w:p>
    <w:p w:rsidR="006A7AB3" w:rsidRPr="006A7AB3" w:rsidRDefault="006A7AB3" w:rsidP="006A7AB3">
      <w:pPr>
        <w:spacing w:after="0" w:line="240" w:lineRule="auto"/>
        <w:jc w:val="center"/>
        <w:rPr>
          <w:rFonts w:ascii="Times New Roman" w:hAnsi="Times New Roman" w:cs="Times New Roman"/>
          <w:b/>
          <w:sz w:val="28"/>
          <w:szCs w:val="28"/>
        </w:rPr>
      </w:pPr>
      <w:r w:rsidRPr="006A7AB3">
        <w:rPr>
          <w:rFonts w:ascii="Times New Roman" w:hAnsi="Times New Roman" w:cs="Times New Roman"/>
          <w:b/>
          <w:sz w:val="28"/>
          <w:szCs w:val="28"/>
        </w:rPr>
        <w:t>7.2. Участие родительской общественности в разнообразных формах деятельности</w:t>
      </w:r>
    </w:p>
    <w:p w:rsidR="006A7AB3" w:rsidRPr="006A7AB3" w:rsidRDefault="006A7AB3" w:rsidP="006A7AB3">
      <w:pPr>
        <w:spacing w:after="0" w:line="240" w:lineRule="auto"/>
        <w:jc w:val="center"/>
        <w:rPr>
          <w:rFonts w:ascii="Times New Roman" w:hAnsi="Times New Roman" w:cs="Times New Roman"/>
          <w:b/>
          <w:sz w:val="28"/>
          <w:szCs w:val="28"/>
        </w:rPr>
      </w:pPr>
    </w:p>
    <w:p w:rsidR="006A7AB3" w:rsidRPr="006A7AB3" w:rsidRDefault="006A7AB3" w:rsidP="006A7AB3">
      <w:pPr>
        <w:spacing w:after="0" w:line="240" w:lineRule="auto"/>
        <w:jc w:val="both"/>
        <w:rPr>
          <w:rFonts w:ascii="Times New Roman" w:hAnsi="Times New Roman" w:cs="Times New Roman"/>
          <w:b/>
          <w:sz w:val="28"/>
          <w:szCs w:val="28"/>
        </w:rPr>
      </w:pPr>
    </w:p>
    <w:tbl>
      <w:tblPr>
        <w:tblW w:w="0" w:type="auto"/>
        <w:tblLook w:val="04A0" w:firstRow="1" w:lastRow="0" w:firstColumn="1" w:lastColumn="0" w:noHBand="0" w:noVBand="1"/>
      </w:tblPr>
      <w:tblGrid>
        <w:gridCol w:w="2029"/>
        <w:gridCol w:w="801"/>
        <w:gridCol w:w="759"/>
        <w:gridCol w:w="875"/>
        <w:gridCol w:w="860"/>
        <w:gridCol w:w="817"/>
        <w:gridCol w:w="875"/>
        <w:gridCol w:w="771"/>
        <w:gridCol w:w="756"/>
        <w:gridCol w:w="802"/>
      </w:tblGrid>
      <w:tr w:rsidR="006A7AB3" w:rsidTr="006A7AB3">
        <w:tc>
          <w:tcPr>
            <w:tcW w:w="2152" w:type="dxa"/>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sz w:val="24"/>
                <w:szCs w:val="24"/>
              </w:rPr>
            </w:pPr>
          </w:p>
        </w:tc>
        <w:tc>
          <w:tcPr>
            <w:tcW w:w="2486"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Сельские, %</w:t>
            </w:r>
          </w:p>
        </w:tc>
        <w:tc>
          <w:tcPr>
            <w:tcW w:w="2639"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Поселковые, %</w:t>
            </w:r>
          </w:p>
        </w:tc>
        <w:tc>
          <w:tcPr>
            <w:tcW w:w="2309"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Городские , %</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Формы</w:t>
            </w:r>
          </w:p>
        </w:tc>
        <w:tc>
          <w:tcPr>
            <w:tcW w:w="8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760"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75%</w:t>
            </w:r>
          </w:p>
        </w:tc>
        <w:tc>
          <w:tcPr>
            <w:tcW w:w="9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50% и менее</w:t>
            </w:r>
          </w:p>
        </w:tc>
        <w:tc>
          <w:tcPr>
            <w:tcW w:w="89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83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75%</w:t>
            </w:r>
          </w:p>
        </w:tc>
        <w:tc>
          <w:tcPr>
            <w:tcW w:w="911"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50% и менее</w:t>
            </w:r>
          </w:p>
        </w:tc>
        <w:tc>
          <w:tcPr>
            <w:tcW w:w="77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100%</w:t>
            </w:r>
          </w:p>
        </w:tc>
        <w:tc>
          <w:tcPr>
            <w:tcW w:w="71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75%</w:t>
            </w:r>
          </w:p>
        </w:tc>
        <w:tc>
          <w:tcPr>
            <w:tcW w:w="8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50% и менее</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0"/>
                <w:szCs w:val="20"/>
              </w:rPr>
            </w:pPr>
            <w:r>
              <w:rPr>
                <w:rFonts w:ascii="Times New Roman" w:hAnsi="Times New Roman"/>
                <w:sz w:val="20"/>
                <w:szCs w:val="20"/>
              </w:rPr>
              <w:t>Публичный отчёт администрации о результатах деятельности</w:t>
            </w:r>
          </w:p>
        </w:tc>
        <w:tc>
          <w:tcPr>
            <w:tcW w:w="81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76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36,36</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8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26,32</w:t>
            </w:r>
          </w:p>
        </w:tc>
        <w:tc>
          <w:tcPr>
            <w:tcW w:w="83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63,16</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10,53</w:t>
            </w:r>
          </w:p>
        </w:tc>
        <w:tc>
          <w:tcPr>
            <w:tcW w:w="7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69,23</w:t>
            </w:r>
          </w:p>
        </w:tc>
        <w:tc>
          <w:tcPr>
            <w:tcW w:w="71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23,08</w:t>
            </w:r>
          </w:p>
        </w:tc>
        <w:tc>
          <w:tcPr>
            <w:tcW w:w="8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7,69</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0"/>
                <w:szCs w:val="20"/>
              </w:rPr>
            </w:pPr>
            <w:r>
              <w:rPr>
                <w:rFonts w:ascii="Times New Roman" w:hAnsi="Times New Roman"/>
                <w:sz w:val="20"/>
                <w:szCs w:val="20"/>
              </w:rPr>
              <w:t>Работа в комиссиях, участие в разнообразных проектах государственно-общественного управления</w:t>
            </w:r>
          </w:p>
        </w:tc>
        <w:tc>
          <w:tcPr>
            <w:tcW w:w="81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45,45</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8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26,32</w:t>
            </w:r>
          </w:p>
        </w:tc>
        <w:tc>
          <w:tcPr>
            <w:tcW w:w="83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42,11</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31,58</w:t>
            </w:r>
          </w:p>
        </w:tc>
        <w:tc>
          <w:tcPr>
            <w:tcW w:w="7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23,08</w:t>
            </w:r>
          </w:p>
        </w:tc>
        <w:tc>
          <w:tcPr>
            <w:tcW w:w="71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38,46</w:t>
            </w:r>
          </w:p>
        </w:tc>
        <w:tc>
          <w:tcPr>
            <w:tcW w:w="8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38,46</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Общешкольные родительские собрания</w:t>
            </w:r>
          </w:p>
        </w:tc>
        <w:tc>
          <w:tcPr>
            <w:tcW w:w="81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63,64</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8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15,79</w:t>
            </w:r>
          </w:p>
        </w:tc>
        <w:tc>
          <w:tcPr>
            <w:tcW w:w="83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68,42</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15,79</w:t>
            </w:r>
          </w:p>
        </w:tc>
        <w:tc>
          <w:tcPr>
            <w:tcW w:w="7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46,15</w:t>
            </w:r>
          </w:p>
        </w:tc>
        <w:tc>
          <w:tcPr>
            <w:tcW w:w="71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3,85</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lastRenderedPageBreak/>
              <w:t>Классные родительские собрания</w:t>
            </w:r>
          </w:p>
        </w:tc>
        <w:tc>
          <w:tcPr>
            <w:tcW w:w="81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45,45</w:t>
            </w:r>
          </w:p>
        </w:tc>
        <w:tc>
          <w:tcPr>
            <w:tcW w:w="76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8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21,05</w:t>
            </w:r>
          </w:p>
        </w:tc>
        <w:tc>
          <w:tcPr>
            <w:tcW w:w="83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73,68</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5,26</w:t>
            </w:r>
          </w:p>
        </w:tc>
        <w:tc>
          <w:tcPr>
            <w:tcW w:w="7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71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Традиционные праздники</w:t>
            </w:r>
          </w:p>
        </w:tc>
        <w:tc>
          <w:tcPr>
            <w:tcW w:w="81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18,18</w:t>
            </w:r>
          </w:p>
        </w:tc>
        <w:tc>
          <w:tcPr>
            <w:tcW w:w="8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10,53</w:t>
            </w:r>
          </w:p>
        </w:tc>
        <w:tc>
          <w:tcPr>
            <w:tcW w:w="83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73,68</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15,79</w:t>
            </w:r>
          </w:p>
        </w:tc>
        <w:tc>
          <w:tcPr>
            <w:tcW w:w="7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15,38</w:t>
            </w:r>
          </w:p>
        </w:tc>
        <w:tc>
          <w:tcPr>
            <w:tcW w:w="71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34,62</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Спортивные мероприятия</w:t>
            </w:r>
          </w:p>
        </w:tc>
        <w:tc>
          <w:tcPr>
            <w:tcW w:w="81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76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54,55</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36,36</w:t>
            </w:r>
          </w:p>
        </w:tc>
        <w:tc>
          <w:tcPr>
            <w:tcW w:w="8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10,53</w:t>
            </w:r>
          </w:p>
        </w:tc>
        <w:tc>
          <w:tcPr>
            <w:tcW w:w="83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57,89</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31,58</w:t>
            </w:r>
          </w:p>
        </w:tc>
        <w:tc>
          <w:tcPr>
            <w:tcW w:w="7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11,54</w:t>
            </w:r>
          </w:p>
        </w:tc>
        <w:tc>
          <w:tcPr>
            <w:tcW w:w="71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38,46</w:t>
            </w:r>
          </w:p>
        </w:tc>
        <w:tc>
          <w:tcPr>
            <w:tcW w:w="8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r>
      <w:tr w:rsidR="006A7AB3" w:rsidTr="006A7AB3">
        <w:tc>
          <w:tcPr>
            <w:tcW w:w="2152"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0"/>
                <w:szCs w:val="20"/>
              </w:rPr>
            </w:pPr>
            <w:r>
              <w:rPr>
                <w:rFonts w:ascii="Times New Roman" w:hAnsi="Times New Roman"/>
                <w:sz w:val="20"/>
                <w:szCs w:val="20"/>
              </w:rPr>
              <w:t>Отчётные выставки и концерты</w:t>
            </w:r>
          </w:p>
        </w:tc>
        <w:tc>
          <w:tcPr>
            <w:tcW w:w="815"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27,27</w:t>
            </w:r>
          </w:p>
        </w:tc>
        <w:tc>
          <w:tcPr>
            <w:tcW w:w="760"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63,64</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9,09</w:t>
            </w:r>
          </w:p>
        </w:tc>
        <w:tc>
          <w:tcPr>
            <w:tcW w:w="892"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5,26</w:t>
            </w:r>
          </w:p>
        </w:tc>
        <w:tc>
          <w:tcPr>
            <w:tcW w:w="83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63,16</w:t>
            </w:r>
          </w:p>
        </w:tc>
        <w:tc>
          <w:tcPr>
            <w:tcW w:w="911"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31,58</w:t>
            </w:r>
          </w:p>
        </w:tc>
        <w:tc>
          <w:tcPr>
            <w:tcW w:w="77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7,69</w:t>
            </w:r>
          </w:p>
        </w:tc>
        <w:tc>
          <w:tcPr>
            <w:tcW w:w="71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50,00</w:t>
            </w:r>
          </w:p>
        </w:tc>
        <w:tc>
          <w:tcPr>
            <w:tcW w:w="8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42,31</w:t>
            </w:r>
          </w:p>
        </w:tc>
      </w:tr>
    </w:tbl>
    <w:p w:rsidR="006A7AB3" w:rsidRDefault="006A7AB3" w:rsidP="006A7AB3">
      <w:pPr>
        <w:spacing w:after="0" w:line="240" w:lineRule="auto"/>
        <w:jc w:val="center"/>
        <w:rPr>
          <w:rFonts w:ascii="Times New Roman" w:hAnsi="Times New Roman" w:cs="Times New Roman"/>
          <w:b/>
          <w:sz w:val="28"/>
          <w:szCs w:val="28"/>
        </w:rPr>
      </w:pPr>
    </w:p>
    <w:p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Как видно из приведённых данных, публичный отчёт администрации о результатах деятельности больший интерес вызывает в сельских школах, где более 90% родителей участвуют в обсуждении такого отчёта. В городских школах этот показатель остаётся примерно на таком же уровне - 91 % родителей проявляют интерес к отчёту администрации. Значительное снижение интереса выявилось в поселковых школах, только 26% проявляют постоянный интерес и 32% родителей посещают отчёты значительно реже.</w:t>
      </w:r>
    </w:p>
    <w:p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Общешкольные родительские собрания привлекают родителей значительно меньше, чем отчёт администрации, можно предположить, что их содержание не представляет для родителей во всех типах поселений достаточного интереса. </w:t>
      </w:r>
    </w:p>
    <w:p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Классные родительские собрания более привлекательны для родителей. Выделяется устойчивый показатель высокой заинтересованности примерно у 50% от общего числа родителей, и колебание интереса к классным собраниям от 21% до 68% в поселковых школах. Такое отношение родителей к классным собраниям предполагает изменение отношения к ним со стороны классных руководителей, придание этой важнейшей форме взаимодействия нового содержания, иных методов проведения, отвечающих запросам современного родителя.</w:t>
      </w:r>
    </w:p>
    <w:p w:rsidR="006A7AB3" w:rsidRPr="006A7AB3" w:rsidRDefault="006A7AB3" w:rsidP="006A7AB3">
      <w:pPr>
        <w:spacing w:after="0"/>
        <w:ind w:firstLine="567"/>
        <w:jc w:val="both"/>
        <w:rPr>
          <w:rFonts w:ascii="Times New Roman" w:hAnsi="Times New Roman" w:cs="Times New Roman"/>
          <w:sz w:val="28"/>
          <w:szCs w:val="28"/>
        </w:rPr>
      </w:pPr>
      <w:r w:rsidRPr="006A7AB3">
        <w:rPr>
          <w:rFonts w:ascii="Times New Roman" w:hAnsi="Times New Roman" w:cs="Times New Roman"/>
          <w:sz w:val="28"/>
          <w:szCs w:val="28"/>
        </w:rPr>
        <w:t>Достаточно высокий интерес проявляют родители к участию в разных формах воспитательной работы: выставки, концерты, праздники, что отражено в данных таблицы. При этом в сельских и поселковых школах этот процент (от 63% до 76%) значительно выше, чем в городских (от 7% до 50%).</w:t>
      </w:r>
    </w:p>
    <w:p w:rsidR="006A7AB3" w:rsidRDefault="006A7AB3" w:rsidP="006A7AB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 все школы привлекают родителей к участию в работе Управляющих советов. </w:t>
      </w:r>
    </w:p>
    <w:p w:rsidR="006A7AB3" w:rsidRDefault="006A7AB3" w:rsidP="006A7AB3">
      <w:pPr>
        <w:spacing w:after="0"/>
        <w:ind w:firstLine="567"/>
        <w:jc w:val="both"/>
        <w:rPr>
          <w:rFonts w:ascii="Times New Roman" w:hAnsi="Times New Roman" w:cs="Times New Roman"/>
          <w:sz w:val="24"/>
          <w:szCs w:val="24"/>
        </w:rPr>
      </w:pPr>
    </w:p>
    <w:p w:rsidR="006A7AB3" w:rsidRDefault="006A7AB3" w:rsidP="006A7AB3">
      <w:pPr>
        <w:spacing w:after="0"/>
        <w:ind w:firstLine="567"/>
        <w:jc w:val="both"/>
        <w:rPr>
          <w:rFonts w:ascii="Times New Roman" w:hAnsi="Times New Roman" w:cs="Times New Roman"/>
          <w:sz w:val="24"/>
          <w:szCs w:val="24"/>
        </w:rPr>
      </w:pPr>
    </w:p>
    <w:p w:rsidR="006A7AB3" w:rsidRDefault="006A7AB3" w:rsidP="006A7AB3">
      <w:pPr>
        <w:spacing w:after="0"/>
        <w:ind w:firstLine="567"/>
        <w:jc w:val="both"/>
        <w:rPr>
          <w:rFonts w:ascii="Times New Roman" w:hAnsi="Times New Roman" w:cs="Times New Roman"/>
          <w:sz w:val="24"/>
          <w:szCs w:val="24"/>
        </w:rPr>
      </w:pPr>
    </w:p>
    <w:p w:rsidR="006A7AB3" w:rsidRPr="006A7AB3" w:rsidRDefault="006A7AB3" w:rsidP="006A7AB3">
      <w:pPr>
        <w:numPr>
          <w:ilvl w:val="0"/>
          <w:numId w:val="5"/>
        </w:numPr>
        <w:spacing w:after="0"/>
        <w:contextualSpacing/>
        <w:jc w:val="center"/>
        <w:rPr>
          <w:rFonts w:ascii="Times New Roman" w:hAnsi="Times New Roman" w:cs="Times New Roman"/>
          <w:b/>
          <w:sz w:val="28"/>
          <w:szCs w:val="28"/>
        </w:rPr>
      </w:pPr>
      <w:r w:rsidRPr="006A7AB3">
        <w:rPr>
          <w:rFonts w:ascii="Times New Roman" w:hAnsi="Times New Roman" w:cs="Times New Roman"/>
          <w:b/>
          <w:sz w:val="28"/>
          <w:szCs w:val="28"/>
        </w:rPr>
        <w:t>Результативность воспитательной системы</w:t>
      </w:r>
    </w:p>
    <w:p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t xml:space="preserve">Любые субъективные оценки руководителя проверяются полученными результатами диагностики личностного роста обучающихся. </w:t>
      </w:r>
    </w:p>
    <w:p w:rsidR="006A7AB3" w:rsidRPr="006A7AB3" w:rsidRDefault="006A7AB3" w:rsidP="006A7AB3">
      <w:pPr>
        <w:spacing w:after="0"/>
        <w:ind w:firstLine="708"/>
        <w:jc w:val="both"/>
        <w:rPr>
          <w:rFonts w:ascii="Times New Roman" w:hAnsi="Times New Roman" w:cs="Times New Roman"/>
          <w:sz w:val="28"/>
          <w:szCs w:val="28"/>
        </w:rPr>
      </w:pPr>
      <w:r w:rsidRPr="006A7AB3">
        <w:rPr>
          <w:rFonts w:ascii="Times New Roman" w:hAnsi="Times New Roman" w:cs="Times New Roman"/>
          <w:sz w:val="28"/>
          <w:szCs w:val="28"/>
        </w:rPr>
        <w:lastRenderedPageBreak/>
        <w:t>Как показал мониторинг, разработка комплекса диагностических методик строится с использованием авторских методик учёных, а также с применением общепедагогических традиционных методов изучения состояния какого-либо вопроса. Данные по использованию традиционных методик представлены в таблице 8.1.</w:t>
      </w:r>
    </w:p>
    <w:p w:rsidR="006A7AB3" w:rsidRPr="006A7AB3" w:rsidRDefault="006A7AB3" w:rsidP="006A7AB3">
      <w:pPr>
        <w:spacing w:after="160" w:line="256" w:lineRule="auto"/>
        <w:ind w:left="360"/>
        <w:contextualSpacing/>
        <w:jc w:val="center"/>
        <w:rPr>
          <w:rFonts w:ascii="Times New Roman" w:eastAsia="Times New Roman" w:hAnsi="Times New Roman" w:cs="Times New Roman"/>
          <w:b/>
          <w:sz w:val="28"/>
          <w:szCs w:val="28"/>
        </w:rPr>
      </w:pPr>
      <w:r w:rsidRPr="006A7AB3">
        <w:rPr>
          <w:rFonts w:ascii="Times New Roman" w:eastAsia="Times New Roman" w:hAnsi="Times New Roman" w:cs="Times New Roman"/>
          <w:b/>
          <w:sz w:val="28"/>
          <w:szCs w:val="28"/>
        </w:rPr>
        <w:t>8.1. Методы оценки личностных результатов обучающихся</w:t>
      </w:r>
    </w:p>
    <w:p w:rsidR="006A7AB3" w:rsidRDefault="006A7AB3" w:rsidP="006A7AB3">
      <w:pPr>
        <w:spacing w:after="160" w:line="256" w:lineRule="auto"/>
        <w:ind w:left="360"/>
        <w:contextualSpacing/>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3115"/>
        <w:gridCol w:w="2834"/>
        <w:gridCol w:w="3396"/>
      </w:tblGrid>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b/>
                <w:sz w:val="24"/>
                <w:szCs w:val="24"/>
              </w:rPr>
            </w:pPr>
            <w:r>
              <w:rPr>
                <w:rFonts w:ascii="Times New Roman" w:hAnsi="Times New Roman"/>
                <w:b/>
                <w:sz w:val="24"/>
                <w:szCs w:val="24"/>
              </w:rPr>
              <w:t>Ответы</w:t>
            </w:r>
          </w:p>
        </w:tc>
        <w:tc>
          <w:tcPr>
            <w:tcW w:w="2834"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w:t>
            </w:r>
          </w:p>
        </w:tc>
        <w:tc>
          <w:tcPr>
            <w:tcW w:w="339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center"/>
              <w:rPr>
                <w:rFonts w:ascii="Times New Roman" w:hAnsi="Times New Roman"/>
                <w:b/>
                <w:sz w:val="24"/>
                <w:szCs w:val="24"/>
              </w:rPr>
            </w:pPr>
            <w:r>
              <w:rPr>
                <w:rFonts w:ascii="Times New Roman" w:hAnsi="Times New Roman"/>
                <w:b/>
                <w:sz w:val="24"/>
                <w:szCs w:val="24"/>
              </w:rPr>
              <w:t>Количество ответов, %</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Анкетирование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50</w:t>
            </w:r>
          </w:p>
        </w:tc>
        <w:tc>
          <w:tcPr>
            <w:tcW w:w="339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89,29</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Опрос</w:t>
            </w:r>
          </w:p>
        </w:tc>
        <w:tc>
          <w:tcPr>
            <w:tcW w:w="283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42</w:t>
            </w:r>
          </w:p>
        </w:tc>
        <w:tc>
          <w:tcPr>
            <w:tcW w:w="339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75,00</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Эссе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12</w:t>
            </w:r>
          </w:p>
        </w:tc>
        <w:tc>
          <w:tcPr>
            <w:tcW w:w="339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21,43</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Сочинения на заданную тему</w:t>
            </w:r>
          </w:p>
        </w:tc>
        <w:tc>
          <w:tcPr>
            <w:tcW w:w="283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17</w:t>
            </w:r>
          </w:p>
        </w:tc>
        <w:tc>
          <w:tcPr>
            <w:tcW w:w="339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30,36</w:t>
            </w:r>
          </w:p>
        </w:tc>
      </w:tr>
      <w:tr w:rsidR="006A7AB3" w:rsidTr="006A7AB3">
        <w:tc>
          <w:tcPr>
            <w:tcW w:w="3115"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rPr>
                <w:rFonts w:ascii="Times New Roman" w:hAnsi="Times New Roman"/>
                <w:sz w:val="24"/>
                <w:szCs w:val="24"/>
              </w:rPr>
            </w:pPr>
            <w:r>
              <w:rPr>
                <w:rFonts w:ascii="Times New Roman" w:hAnsi="Times New Roman"/>
                <w:sz w:val="24"/>
                <w:szCs w:val="24"/>
              </w:rPr>
              <w:t>Наблюдение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sz w:val="24"/>
                <w:szCs w:val="24"/>
              </w:rPr>
            </w:pPr>
            <w:r>
              <w:rPr>
                <w:rFonts w:ascii="Times New Roman" w:hAnsi="Times New Roman"/>
                <w:sz w:val="24"/>
                <w:szCs w:val="24"/>
              </w:rPr>
              <w:t>52</w:t>
            </w:r>
          </w:p>
        </w:tc>
        <w:tc>
          <w:tcPr>
            <w:tcW w:w="339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92,86</w:t>
            </w:r>
          </w:p>
        </w:tc>
      </w:tr>
    </w:tbl>
    <w:p w:rsidR="006A7AB3" w:rsidRPr="006A7AB3" w:rsidRDefault="006A7AB3" w:rsidP="006A7AB3">
      <w:pPr>
        <w:spacing w:after="0"/>
        <w:ind w:firstLine="708"/>
        <w:contextualSpacing/>
        <w:jc w:val="both"/>
        <w:rPr>
          <w:rFonts w:ascii="Times New Roman" w:eastAsia="Times New Roman" w:hAnsi="Times New Roman" w:cs="Times New Roman"/>
          <w:sz w:val="28"/>
          <w:szCs w:val="28"/>
        </w:rPr>
      </w:pPr>
      <w:r w:rsidRPr="006A7AB3">
        <w:rPr>
          <w:rFonts w:ascii="Times New Roman" w:eastAsia="Times New Roman" w:hAnsi="Times New Roman" w:cs="Times New Roman"/>
          <w:sz w:val="28"/>
          <w:szCs w:val="28"/>
        </w:rPr>
        <w:t>Среди методов оценки личностных результатов преимущественный выбор сделан в отношении наблюдения и анкетирования –92,8 % и 89% респондентов, соответственно, отдают им свое предпочтение.</w:t>
      </w:r>
    </w:p>
    <w:p w:rsidR="006A7AB3" w:rsidRPr="006A7AB3" w:rsidRDefault="006A7AB3" w:rsidP="006A7AB3">
      <w:p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w:t>
      </w:r>
      <w:r w:rsidRPr="006A7AB3">
        <w:rPr>
          <w:rFonts w:ascii="Times New Roman" w:hAnsi="Times New Roman" w:cs="Times New Roman"/>
          <w:sz w:val="28"/>
          <w:szCs w:val="28"/>
        </w:rPr>
        <w:tab/>
        <w:t>В ряде школ система контроля процесса личностного развития разработана на высоком уровне</w:t>
      </w:r>
      <w:r w:rsidRPr="006A7AB3">
        <w:rPr>
          <w:rFonts w:ascii="Times New Roman" w:hAnsi="Times New Roman" w:cs="Times New Roman"/>
          <w:b/>
          <w:sz w:val="28"/>
          <w:szCs w:val="28"/>
        </w:rPr>
        <w:t xml:space="preserve">. </w:t>
      </w:r>
      <w:r w:rsidRPr="006A7AB3">
        <w:rPr>
          <w:rFonts w:ascii="Times New Roman" w:hAnsi="Times New Roman" w:cs="Times New Roman"/>
          <w:sz w:val="28"/>
          <w:szCs w:val="28"/>
        </w:rPr>
        <w:t>Такую оценку можно дать следующим школам:</w:t>
      </w:r>
    </w:p>
    <w:p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СОШ № 4, г. Сосновый Бор;</w:t>
      </w:r>
    </w:p>
    <w:p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 Лицей № 8, г.Сосновый Бор;</w:t>
      </w:r>
    </w:p>
    <w:p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Будогощская СОШ им. М.П.Галкина, Киришский раайон;</w:t>
      </w:r>
    </w:p>
    <w:p w:rsidR="006A7AB3" w:rsidRPr="006A7AB3" w:rsidRDefault="006A7AB3" w:rsidP="006A7AB3">
      <w:pPr>
        <w:numPr>
          <w:ilvl w:val="0"/>
          <w:numId w:val="6"/>
        </w:numPr>
        <w:spacing w:after="0"/>
        <w:contextualSpacing/>
        <w:jc w:val="both"/>
        <w:rPr>
          <w:rFonts w:ascii="Times New Roman" w:hAnsi="Times New Roman" w:cs="Times New Roman"/>
          <w:sz w:val="28"/>
          <w:szCs w:val="28"/>
        </w:rPr>
      </w:pPr>
      <w:r w:rsidRPr="006A7AB3">
        <w:rPr>
          <w:rFonts w:ascii="Times New Roman" w:hAnsi="Times New Roman" w:cs="Times New Roman"/>
          <w:sz w:val="28"/>
          <w:szCs w:val="28"/>
        </w:rPr>
        <w:t>Гарболовская СОШ, Всеволожский район;</w:t>
      </w:r>
    </w:p>
    <w:p w:rsidR="006A7AB3" w:rsidRPr="006A7AB3" w:rsidRDefault="006A7AB3" w:rsidP="006A7AB3">
      <w:pPr>
        <w:numPr>
          <w:ilvl w:val="0"/>
          <w:numId w:val="6"/>
        </w:numPr>
        <w:spacing w:after="0" w:line="360" w:lineRule="auto"/>
        <w:contextualSpacing/>
        <w:jc w:val="both"/>
        <w:rPr>
          <w:rFonts w:ascii="Times New Roman" w:hAnsi="Times New Roman" w:cs="Times New Roman"/>
          <w:sz w:val="28"/>
          <w:szCs w:val="28"/>
        </w:rPr>
      </w:pPr>
      <w:r w:rsidRPr="006A7AB3">
        <w:rPr>
          <w:rFonts w:ascii="Times New Roman" w:hAnsi="Times New Roman" w:cs="Times New Roman"/>
          <w:sz w:val="28"/>
          <w:szCs w:val="28"/>
        </w:rPr>
        <w:t>МОУ «Лаголовская школа», Ломоносовский район.</w:t>
      </w:r>
    </w:p>
    <w:p w:rsidR="006A7AB3" w:rsidRPr="006A7AB3" w:rsidRDefault="006A7AB3" w:rsidP="006A7AB3">
      <w:pPr>
        <w:spacing w:after="0"/>
        <w:ind w:firstLine="360"/>
        <w:contextualSpacing/>
        <w:jc w:val="both"/>
        <w:rPr>
          <w:rFonts w:ascii="Times New Roman" w:hAnsi="Times New Roman" w:cs="Times New Roman"/>
          <w:sz w:val="28"/>
          <w:szCs w:val="28"/>
        </w:rPr>
      </w:pPr>
      <w:r w:rsidRPr="006A7AB3">
        <w:rPr>
          <w:rFonts w:ascii="Times New Roman" w:hAnsi="Times New Roman" w:cs="Times New Roman"/>
          <w:sz w:val="28"/>
          <w:szCs w:val="28"/>
        </w:rPr>
        <w:t>Спектр используемых методик для оценивания личностных результатов обучающихся достаточно широк</w:t>
      </w:r>
      <w:r w:rsidRPr="006A7AB3">
        <w:rPr>
          <w:rFonts w:ascii="Times New Roman" w:hAnsi="Times New Roman" w:cs="Times New Roman"/>
          <w:b/>
          <w:sz w:val="28"/>
          <w:szCs w:val="28"/>
        </w:rPr>
        <w:t xml:space="preserve">. </w:t>
      </w:r>
      <w:r w:rsidRPr="006A7AB3">
        <w:rPr>
          <w:rFonts w:ascii="Times New Roman" w:hAnsi="Times New Roman" w:cs="Times New Roman"/>
          <w:sz w:val="28"/>
          <w:szCs w:val="28"/>
        </w:rPr>
        <w:t>В этих школах сформирован комплекс методов изучения процесса личностного роста, который осуществляется по следующим направлениям:</w:t>
      </w:r>
    </w:p>
    <w:p w:rsidR="006A7AB3" w:rsidRPr="006A7AB3" w:rsidRDefault="006A7AB3" w:rsidP="006A7AB3">
      <w:pPr>
        <w:numPr>
          <w:ilvl w:val="0"/>
          <w:numId w:val="7"/>
        </w:numPr>
        <w:rPr>
          <w:rFonts w:ascii="Times New Roman" w:hAnsi="Times New Roman" w:cs="Times New Roman"/>
          <w:sz w:val="28"/>
          <w:szCs w:val="28"/>
        </w:rPr>
      </w:pPr>
      <w:r w:rsidRPr="006A7AB3">
        <w:rPr>
          <w:rFonts w:ascii="Times New Roman" w:hAnsi="Times New Roman" w:cs="Times New Roman"/>
          <w:sz w:val="28"/>
          <w:szCs w:val="28"/>
        </w:rPr>
        <w:t>сформированность первичных детских коллективов как условие личностного роста школьников;</w:t>
      </w:r>
    </w:p>
    <w:p w:rsidR="006A7AB3" w:rsidRPr="006A7AB3" w:rsidRDefault="006A7AB3" w:rsidP="006A7AB3">
      <w:pPr>
        <w:numPr>
          <w:ilvl w:val="0"/>
          <w:numId w:val="7"/>
        </w:numPr>
        <w:spacing w:after="0"/>
        <w:contextualSpacing/>
        <w:rPr>
          <w:rFonts w:ascii="Times New Roman" w:hAnsi="Times New Roman" w:cs="Times New Roman"/>
          <w:sz w:val="28"/>
          <w:szCs w:val="28"/>
        </w:rPr>
      </w:pPr>
      <w:r w:rsidRPr="006A7AB3">
        <w:rPr>
          <w:rFonts w:ascii="Times New Roman" w:hAnsi="Times New Roman" w:cs="Times New Roman"/>
          <w:sz w:val="28"/>
          <w:szCs w:val="28"/>
        </w:rPr>
        <w:t>благоприятное положение каждого ребенка в классных коллективах как условие личностного роста школьников;</w:t>
      </w:r>
    </w:p>
    <w:p w:rsidR="006A7AB3" w:rsidRPr="006A7AB3" w:rsidRDefault="006A7AB3" w:rsidP="006A7AB3">
      <w:pPr>
        <w:numPr>
          <w:ilvl w:val="0"/>
          <w:numId w:val="7"/>
        </w:numPr>
        <w:spacing w:after="0"/>
        <w:contextualSpacing/>
        <w:rPr>
          <w:rFonts w:ascii="Times New Roman" w:hAnsi="Times New Roman" w:cs="Times New Roman"/>
          <w:sz w:val="28"/>
          <w:szCs w:val="28"/>
        </w:rPr>
      </w:pPr>
      <w:r w:rsidRPr="006A7AB3">
        <w:rPr>
          <w:rFonts w:ascii="Times New Roman" w:hAnsi="Times New Roman" w:cs="Times New Roman"/>
          <w:sz w:val="28"/>
          <w:szCs w:val="28"/>
        </w:rPr>
        <w:t>сформированность у педагогов позиции воспитателя как условие личностного роста школьников;</w:t>
      </w:r>
    </w:p>
    <w:p w:rsidR="006A7AB3" w:rsidRPr="006A7AB3" w:rsidRDefault="006A7AB3" w:rsidP="006A7AB3">
      <w:pPr>
        <w:numPr>
          <w:ilvl w:val="0"/>
          <w:numId w:val="7"/>
        </w:numPr>
        <w:spacing w:after="0"/>
        <w:contextualSpacing/>
        <w:jc w:val="both"/>
        <w:rPr>
          <w:rFonts w:ascii="Times New Roman" w:hAnsi="Times New Roman" w:cs="Times New Roman"/>
          <w:b/>
          <w:sz w:val="28"/>
          <w:szCs w:val="28"/>
        </w:rPr>
      </w:pPr>
      <w:r w:rsidRPr="006A7AB3">
        <w:rPr>
          <w:rFonts w:ascii="Times New Roman" w:hAnsi="Times New Roman" w:cs="Times New Roman"/>
          <w:sz w:val="28"/>
          <w:szCs w:val="28"/>
        </w:rPr>
        <w:t>использование воспитательного потенциала различных видов совместной деятельности педагогов, детей и родителей, как условие личностного роста школьников.</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lastRenderedPageBreak/>
        <w:t xml:space="preserve"> Наиболее часто используются следующие авторские методики:</w:t>
      </w:r>
    </w:p>
    <w:p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Проективный тест «Домики» (автор О.А. Орехова) 1 классы; </w:t>
      </w:r>
    </w:p>
    <w:p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«Методика изучения социализированности личности учащихся» (автор – М. И. Рожков), 2-4 классы; </w:t>
      </w:r>
    </w:p>
    <w:p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Диагностика личностного роста учащихся (Д.В.Григорьев, И.В.Степанова, П.В.Степанов), 5,7,9,11классы; </w:t>
      </w:r>
    </w:p>
    <w:p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Методика «Пословицы» (разработана кандидатом психологических наук С.М. Петровой), 6,8,10 классы; </w:t>
      </w:r>
      <w:r w:rsidRPr="006A7AB3">
        <w:rPr>
          <w:rFonts w:ascii="Times New Roman" w:hAnsi="Times New Roman" w:cs="Times New Roman"/>
          <w:sz w:val="28"/>
          <w:szCs w:val="28"/>
        </w:rPr>
        <w:tab/>
      </w:r>
    </w:p>
    <w:p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Методика выявления уровня воспитанности Н. П. Капустина;</w:t>
      </w:r>
    </w:p>
    <w:p w:rsidR="006A7AB3" w:rsidRPr="006A7AB3" w:rsidRDefault="006A7AB3" w:rsidP="006A7AB3">
      <w:pPr>
        <w:numPr>
          <w:ilvl w:val="0"/>
          <w:numId w:val="8"/>
        </w:numPr>
        <w:spacing w:after="0"/>
        <w:ind w:left="0"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Методика выявления школьной мотивации Н. Г. Лускановой.</w:t>
      </w:r>
    </w:p>
    <w:p w:rsidR="006A7AB3" w:rsidRPr="006A7AB3" w:rsidRDefault="006A7AB3" w:rsidP="006A7AB3">
      <w:pPr>
        <w:suppressAutoHyphens/>
        <w:autoSpaceDN w:val="0"/>
        <w:spacing w:after="0"/>
        <w:ind w:firstLine="680"/>
        <w:jc w:val="both"/>
        <w:textAlignment w:val="baseline"/>
        <w:rPr>
          <w:rFonts w:ascii="Times New Roman" w:eastAsia="NSimSun" w:hAnsi="Times New Roman" w:cs="Times New Roman"/>
          <w:kern w:val="3"/>
          <w:sz w:val="28"/>
          <w:szCs w:val="28"/>
          <w:lang w:eastAsia="zh-CN" w:bidi="hi-IN"/>
        </w:rPr>
      </w:pPr>
      <w:r w:rsidRPr="006A7AB3">
        <w:rPr>
          <w:rFonts w:ascii="Times New Roman" w:eastAsia="NSimSun" w:hAnsi="Times New Roman" w:cs="Times New Roman"/>
          <w:kern w:val="3"/>
          <w:sz w:val="28"/>
          <w:szCs w:val="28"/>
          <w:lang w:eastAsia="zh-CN" w:bidi="hi-IN"/>
        </w:rPr>
        <w:t>Личностные результаты обучающихся с помощью методики П.В. Степанова - Д.В. Григорьева используется в нескольких школах области.  Данная методика дает возможность проводить изучение всех сферах жизни, оценивать динамику изменения отношений в классных коллективах на разных уровнях образования.</w:t>
      </w:r>
    </w:p>
    <w:p w:rsidR="006A7AB3" w:rsidRPr="006A7AB3" w:rsidRDefault="006A7AB3" w:rsidP="006A7AB3">
      <w:pPr>
        <w:suppressAutoHyphens/>
        <w:autoSpaceDN w:val="0"/>
        <w:spacing w:after="0"/>
        <w:ind w:firstLine="680"/>
        <w:jc w:val="both"/>
        <w:textAlignment w:val="baseline"/>
        <w:rPr>
          <w:rFonts w:ascii="Times New Roman" w:eastAsia="NSimSun" w:hAnsi="Times New Roman" w:cs="Times New Roman"/>
          <w:kern w:val="3"/>
          <w:sz w:val="28"/>
          <w:szCs w:val="28"/>
          <w:lang w:eastAsia="zh-CN" w:bidi="hi-IN"/>
        </w:rPr>
      </w:pPr>
      <w:r w:rsidRPr="006A7AB3">
        <w:rPr>
          <w:rFonts w:ascii="Times New Roman" w:eastAsia="NSimSun" w:hAnsi="Times New Roman" w:cs="Times New Roman"/>
          <w:kern w:val="3"/>
          <w:sz w:val="28"/>
          <w:szCs w:val="28"/>
          <w:lang w:eastAsia="zh-CN" w:bidi="hi-IN"/>
        </w:rPr>
        <w:t>По изменению коэффициента можно наблюдать динамику внутри одного параметра и корректировать методы и формы работы.</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ab/>
        <w:t>Однако, ряд школ пошёл по упрощённому пути мониторинга, который осуществляет классный руководитель. В такой диагностике учтены данные по успеваемости, участие в классных мероприятиях, участие во внеклассных мероприятиях, занятость в кружках и секциях, участие в интеллектуальных конкурсах, предметных неделях, участие в трудовом десанте, в уборке территории, экологических акциях, участие в спортивных мероприятиях, уровень травматизма и т.п. При этом классный руководитель оценивает данные показатели в баллах от 1 до 5 или в процентах. Такой учёт процента участия позволяет увидеть классы, где вовлечённость школьников в разные формы воспитательной деятельности достаточно высока, а где недостаточна по всем аспектам изучения. Такие данные говорят скорее о проблемах профессиональной подготовки классного руководителя, который более или менее других способен сформировать воспитывающую среду в классе.</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Значительное число школ выбрали путь учёта личностных достижений в разного рода конкурсах. При этом выделены победы в международных, региональных, муниципальных уровнях конкурсов. </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Школы сельские имеют высокие оценки преимущественно на муниципальном уровне участия в творческих конкурсах. На областном уровне они имеют в основном 3-4 места. </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lastRenderedPageBreak/>
        <w:t>Необходимо отметить очень широкое разнообразие конкурсов муниципального уровня, которое даёт возможность проявления способностей в разных аспектах.</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Всероссийский уровень побед представлен участием в спортивных соревнованиях.</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Городские школы дают больший процент побед на международном и всероссийском уровне.</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Важно, что школы ведут персональный учёт участия и побед, что позволяет говорить о поддержке талантливых детей.</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Несколько школ ограничились данными о комфортности среды для личностного развития обучающихся.</w:t>
      </w:r>
    </w:p>
    <w:p w:rsidR="006A7AB3" w:rsidRPr="006A7AB3" w:rsidRDefault="006A7AB3" w:rsidP="006A7AB3">
      <w:pPr>
        <w:spacing w:after="0"/>
        <w:ind w:firstLine="680"/>
        <w:contextualSpacing/>
        <w:jc w:val="both"/>
        <w:rPr>
          <w:rFonts w:ascii="Times New Roman" w:hAnsi="Times New Roman" w:cs="Times New Roman"/>
          <w:sz w:val="28"/>
          <w:szCs w:val="28"/>
        </w:rPr>
      </w:pPr>
      <w:r w:rsidRPr="006A7AB3">
        <w:rPr>
          <w:rFonts w:ascii="Times New Roman" w:hAnsi="Times New Roman" w:cs="Times New Roman"/>
          <w:sz w:val="28"/>
          <w:szCs w:val="28"/>
        </w:rPr>
        <w:t xml:space="preserve">Говорить об эффективности воспитательного процесса благодаря созданию воспитательной системы в каждой образовательной организации невозможно без анализа общественного признания воспитательной системы. </w:t>
      </w:r>
    </w:p>
    <w:p w:rsidR="006A7AB3" w:rsidRPr="006A7AB3" w:rsidRDefault="006A7AB3" w:rsidP="006A7AB3">
      <w:pPr>
        <w:spacing w:after="0" w:line="240" w:lineRule="auto"/>
        <w:jc w:val="center"/>
        <w:rPr>
          <w:rFonts w:ascii="Times New Roman" w:hAnsi="Times New Roman" w:cs="Times New Roman"/>
          <w:b/>
          <w:sz w:val="28"/>
          <w:szCs w:val="28"/>
        </w:rPr>
      </w:pPr>
    </w:p>
    <w:p w:rsidR="006A7AB3" w:rsidRPr="006A7AB3" w:rsidRDefault="006A7AB3" w:rsidP="006A7AB3">
      <w:pPr>
        <w:spacing w:after="0" w:line="360" w:lineRule="auto"/>
        <w:ind w:firstLine="567"/>
        <w:jc w:val="center"/>
        <w:rPr>
          <w:rFonts w:ascii="Times New Roman" w:hAnsi="Times New Roman" w:cs="Times New Roman"/>
          <w:b/>
          <w:sz w:val="28"/>
          <w:szCs w:val="28"/>
        </w:rPr>
      </w:pPr>
      <w:r w:rsidRPr="006A7AB3">
        <w:rPr>
          <w:rFonts w:ascii="Times New Roman" w:hAnsi="Times New Roman" w:cs="Times New Roman"/>
          <w:b/>
          <w:sz w:val="28"/>
          <w:szCs w:val="28"/>
        </w:rPr>
        <w:t>8.2. Оценка общественного признания ВС</w:t>
      </w:r>
    </w:p>
    <w:p w:rsidR="006A7AB3" w:rsidRPr="006A7AB3" w:rsidRDefault="006A7AB3" w:rsidP="006A7AB3">
      <w:pPr>
        <w:spacing w:after="0"/>
        <w:ind w:firstLine="567"/>
        <w:contextualSpacing/>
        <w:jc w:val="both"/>
        <w:rPr>
          <w:rFonts w:ascii="Times New Roman" w:hAnsi="Times New Roman" w:cs="Times New Roman"/>
          <w:sz w:val="28"/>
          <w:szCs w:val="28"/>
        </w:rPr>
      </w:pPr>
      <w:r w:rsidRPr="006A7AB3">
        <w:rPr>
          <w:rFonts w:ascii="Times New Roman" w:hAnsi="Times New Roman" w:cs="Times New Roman"/>
          <w:sz w:val="28"/>
          <w:szCs w:val="28"/>
        </w:rPr>
        <w:t>Влияние воспитательной системы на уровень воспитанности обучающихся ощущается в жизни территории через поведение школьников в общественных местах, во время проведения массовых традиционных акций, в отношении к старшим и малышам, в сохранности зон отдыха и сорта. Этот показатель также рассматривался с учётом места расположения школ.</w:t>
      </w:r>
    </w:p>
    <w:p w:rsidR="006A7AB3" w:rsidRPr="006A7AB3" w:rsidRDefault="006A7AB3" w:rsidP="006A7AB3">
      <w:pPr>
        <w:spacing w:after="0"/>
        <w:ind w:firstLine="567"/>
        <w:contextualSpacing/>
        <w:jc w:val="center"/>
        <w:rPr>
          <w:rFonts w:ascii="Times New Roman" w:hAnsi="Times New Roman" w:cs="Times New Roman"/>
          <w:b/>
          <w:sz w:val="28"/>
          <w:szCs w:val="28"/>
        </w:rPr>
      </w:pPr>
      <w:r w:rsidRPr="006A7AB3">
        <w:rPr>
          <w:rFonts w:ascii="Times New Roman" w:hAnsi="Times New Roman" w:cs="Times New Roman"/>
          <w:b/>
          <w:sz w:val="28"/>
          <w:szCs w:val="28"/>
        </w:rPr>
        <w:t>Общественная оценка ВС</w:t>
      </w:r>
    </w:p>
    <w:tbl>
      <w:tblPr>
        <w:tblW w:w="7260" w:type="dxa"/>
        <w:tblInd w:w="108" w:type="dxa"/>
        <w:tblLook w:val="04A0" w:firstRow="1" w:lastRow="0" w:firstColumn="1" w:lastColumn="0" w:noHBand="0" w:noVBand="1"/>
      </w:tblPr>
      <w:tblGrid>
        <w:gridCol w:w="216"/>
        <w:gridCol w:w="1180"/>
        <w:gridCol w:w="216"/>
        <w:gridCol w:w="823"/>
        <w:gridCol w:w="852"/>
        <w:gridCol w:w="216"/>
        <w:gridCol w:w="622"/>
        <w:gridCol w:w="649"/>
        <w:gridCol w:w="292"/>
        <w:gridCol w:w="852"/>
        <w:gridCol w:w="216"/>
        <w:gridCol w:w="621"/>
        <w:gridCol w:w="545"/>
        <w:gridCol w:w="327"/>
        <w:gridCol w:w="852"/>
        <w:gridCol w:w="768"/>
      </w:tblGrid>
      <w:tr w:rsidR="006A7AB3" w:rsidTr="006A7AB3">
        <w:trPr>
          <w:gridBefore w:val="1"/>
          <w:gridAfter w:val="3"/>
          <w:wAfter w:w="1982" w:type="dxa"/>
          <w:trHeight w:val="300"/>
        </w:trPr>
        <w:tc>
          <w:tcPr>
            <w:tcW w:w="1340" w:type="dxa"/>
            <w:noWrap/>
            <w:vAlign w:val="center"/>
            <w:hideMark/>
          </w:tcPr>
          <w:p w:rsidR="006A7AB3" w:rsidRDefault="006A7AB3">
            <w:pPr>
              <w:rPr>
                <w:rFonts w:ascii="Times New Roman" w:hAnsi="Times New Roman" w:cs="Times New Roman"/>
                <w:b/>
                <w:sz w:val="24"/>
                <w:szCs w:val="24"/>
              </w:rPr>
            </w:pPr>
          </w:p>
        </w:tc>
        <w:tc>
          <w:tcPr>
            <w:tcW w:w="2200" w:type="dxa"/>
            <w:gridSpan w:val="4"/>
            <w:noWrap/>
            <w:vAlign w:val="bottom"/>
            <w:hideMark/>
          </w:tcPr>
          <w:p w:rsidR="006A7AB3" w:rsidRDefault="006A7AB3">
            <w:pPr>
              <w:rPr>
                <w:sz w:val="20"/>
                <w:szCs w:val="20"/>
                <w:lang w:eastAsia="ru-RU"/>
              </w:rPr>
            </w:pPr>
          </w:p>
        </w:tc>
        <w:tc>
          <w:tcPr>
            <w:tcW w:w="1260" w:type="dxa"/>
            <w:gridSpan w:val="2"/>
            <w:noWrap/>
            <w:vAlign w:val="center"/>
            <w:hideMark/>
          </w:tcPr>
          <w:p w:rsidR="006A7AB3" w:rsidRDefault="006A7AB3">
            <w:pPr>
              <w:rPr>
                <w:sz w:val="20"/>
                <w:szCs w:val="20"/>
                <w:lang w:eastAsia="ru-RU"/>
              </w:rPr>
            </w:pPr>
          </w:p>
        </w:tc>
        <w:tc>
          <w:tcPr>
            <w:tcW w:w="1240" w:type="dxa"/>
            <w:gridSpan w:val="3"/>
            <w:noWrap/>
            <w:vAlign w:val="center"/>
            <w:hideMark/>
          </w:tcPr>
          <w:p w:rsidR="006A7AB3" w:rsidRDefault="006A7AB3">
            <w:pPr>
              <w:rPr>
                <w:sz w:val="20"/>
                <w:szCs w:val="20"/>
                <w:lang w:eastAsia="ru-RU"/>
              </w:rPr>
            </w:pPr>
          </w:p>
        </w:tc>
        <w:tc>
          <w:tcPr>
            <w:tcW w:w="1220" w:type="dxa"/>
            <w:gridSpan w:val="2"/>
            <w:noWrap/>
            <w:vAlign w:val="center"/>
            <w:hideMark/>
          </w:tcPr>
          <w:p w:rsidR="006A7AB3" w:rsidRDefault="006A7AB3">
            <w:pPr>
              <w:rPr>
                <w:sz w:val="20"/>
                <w:szCs w:val="20"/>
                <w:lang w:eastAsia="ru-RU"/>
              </w:rPr>
            </w:pPr>
          </w:p>
        </w:tc>
      </w:tr>
      <w:tr w:rsidR="006A7AB3" w:rsidTr="006A7AB3">
        <w:tc>
          <w:tcPr>
            <w:tcW w:w="1543" w:type="dxa"/>
            <w:gridSpan w:val="3"/>
            <w:tcBorders>
              <w:top w:val="single" w:sz="4" w:space="0" w:color="auto"/>
              <w:left w:val="single" w:sz="4" w:space="0" w:color="auto"/>
              <w:bottom w:val="single" w:sz="4" w:space="0" w:color="auto"/>
              <w:right w:val="single" w:sz="4" w:space="0" w:color="auto"/>
            </w:tcBorders>
          </w:tcPr>
          <w:p w:rsidR="006A7AB3" w:rsidRDefault="006A7AB3">
            <w:pPr>
              <w:spacing w:after="0" w:line="240" w:lineRule="auto"/>
              <w:jc w:val="both"/>
              <w:rPr>
                <w:rFonts w:ascii="Times New Roman" w:hAnsi="Times New Roman"/>
                <w:b/>
                <w:color w:val="2F5496" w:themeColor="accent5" w:themeShade="BF"/>
                <w:sz w:val="24"/>
                <w:szCs w:val="24"/>
              </w:rPr>
            </w:pPr>
          </w:p>
        </w:tc>
        <w:tc>
          <w:tcPr>
            <w:tcW w:w="2676" w:type="dxa"/>
            <w:gridSpan w:val="4"/>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Сельские, %</w:t>
            </w:r>
          </w:p>
        </w:tc>
        <w:tc>
          <w:tcPr>
            <w:tcW w:w="2676" w:type="dxa"/>
            <w:gridSpan w:val="5"/>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Поселковые, %</w:t>
            </w:r>
          </w:p>
        </w:tc>
        <w:tc>
          <w:tcPr>
            <w:tcW w:w="2676" w:type="dxa"/>
            <w:gridSpan w:val="4"/>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contextualSpacing/>
              <w:jc w:val="center"/>
              <w:rPr>
                <w:rFonts w:ascii="Times New Roman" w:hAnsi="Times New Roman"/>
                <w:b/>
                <w:sz w:val="24"/>
                <w:szCs w:val="24"/>
              </w:rPr>
            </w:pPr>
            <w:r>
              <w:rPr>
                <w:rFonts w:ascii="Times New Roman" w:hAnsi="Times New Roman"/>
                <w:b/>
                <w:sz w:val="24"/>
                <w:szCs w:val="24"/>
              </w:rPr>
              <w:t>Городские, %</w:t>
            </w:r>
          </w:p>
        </w:tc>
      </w:tr>
      <w:tr w:rsidR="006A7AB3" w:rsidTr="006A7AB3">
        <w:tc>
          <w:tcPr>
            <w:tcW w:w="1543"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Представители общественности</w:t>
            </w:r>
          </w:p>
        </w:tc>
        <w:tc>
          <w:tcPr>
            <w:tcW w:w="937"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Высокая </w:t>
            </w:r>
          </w:p>
        </w:tc>
        <w:tc>
          <w:tcPr>
            <w:tcW w:w="9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823"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c>
          <w:tcPr>
            <w:tcW w:w="937"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Высокая </w:t>
            </w:r>
          </w:p>
        </w:tc>
        <w:tc>
          <w:tcPr>
            <w:tcW w:w="9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823"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c>
          <w:tcPr>
            <w:tcW w:w="937" w:type="dxa"/>
            <w:gridSpan w:val="2"/>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 xml:space="preserve">Высокая </w:t>
            </w:r>
          </w:p>
        </w:tc>
        <w:tc>
          <w:tcPr>
            <w:tcW w:w="916"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Средняя</w:t>
            </w:r>
          </w:p>
        </w:tc>
        <w:tc>
          <w:tcPr>
            <w:tcW w:w="823" w:type="dxa"/>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b/>
                <w:sz w:val="24"/>
                <w:szCs w:val="24"/>
              </w:rPr>
            </w:pPr>
            <w:r>
              <w:rPr>
                <w:rFonts w:ascii="Times New Roman" w:hAnsi="Times New Roman"/>
                <w:b/>
                <w:sz w:val="24"/>
                <w:szCs w:val="24"/>
              </w:rPr>
              <w:t>Низкая</w:t>
            </w:r>
          </w:p>
        </w:tc>
      </w:tr>
      <w:tr w:rsidR="006A7AB3" w:rsidTr="006A7AB3">
        <w:tc>
          <w:tcPr>
            <w:tcW w:w="1543"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Родительская общественность</w:t>
            </w:r>
          </w:p>
        </w:tc>
        <w:tc>
          <w:tcPr>
            <w:tcW w:w="93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63,64</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36,36</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36,84</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63,16</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65,38</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34,62</w:t>
            </w:r>
          </w:p>
        </w:tc>
        <w:tc>
          <w:tcPr>
            <w:tcW w:w="82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1543"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Органы местного самоуправления</w:t>
            </w:r>
          </w:p>
        </w:tc>
        <w:tc>
          <w:tcPr>
            <w:tcW w:w="93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63,64</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36,36</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52,63</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47,37</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57,69</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42,31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1543"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 xml:space="preserve">Общественные организации  </w:t>
            </w:r>
          </w:p>
        </w:tc>
        <w:tc>
          <w:tcPr>
            <w:tcW w:w="93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81,82</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18,18</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42,11</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52,63</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65,38</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34,62</w:t>
            </w:r>
          </w:p>
        </w:tc>
        <w:tc>
          <w:tcPr>
            <w:tcW w:w="82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1543"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Социальные партнёры</w:t>
            </w:r>
          </w:p>
        </w:tc>
        <w:tc>
          <w:tcPr>
            <w:tcW w:w="93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90,91</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9,09</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63,16</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31,58</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61,54</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38,46</w:t>
            </w:r>
          </w:p>
        </w:tc>
        <w:tc>
          <w:tcPr>
            <w:tcW w:w="82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r w:rsidR="006A7AB3" w:rsidTr="006A7AB3">
        <w:tc>
          <w:tcPr>
            <w:tcW w:w="1543" w:type="dxa"/>
            <w:gridSpan w:val="3"/>
            <w:tcBorders>
              <w:top w:val="single" w:sz="4" w:space="0" w:color="auto"/>
              <w:left w:val="single" w:sz="4" w:space="0" w:color="auto"/>
              <w:bottom w:val="single" w:sz="4" w:space="0" w:color="auto"/>
              <w:right w:val="single" w:sz="4" w:space="0" w:color="auto"/>
            </w:tcBorders>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lastRenderedPageBreak/>
              <w:t>Средства массовой информации</w:t>
            </w:r>
          </w:p>
        </w:tc>
        <w:tc>
          <w:tcPr>
            <w:tcW w:w="937"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81,82</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18,18</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42,11</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52,63</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5,26</w:t>
            </w:r>
          </w:p>
        </w:tc>
        <w:tc>
          <w:tcPr>
            <w:tcW w:w="937" w:type="dxa"/>
            <w:gridSpan w:val="2"/>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46,15</w:t>
            </w:r>
          </w:p>
        </w:tc>
        <w:tc>
          <w:tcPr>
            <w:tcW w:w="916"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53,85</w:t>
            </w:r>
          </w:p>
        </w:tc>
        <w:tc>
          <w:tcPr>
            <w:tcW w:w="823" w:type="dxa"/>
            <w:tcBorders>
              <w:top w:val="single" w:sz="4" w:space="0" w:color="auto"/>
              <w:left w:val="single" w:sz="4" w:space="0" w:color="auto"/>
              <w:bottom w:val="single" w:sz="4" w:space="0" w:color="auto"/>
              <w:right w:val="single" w:sz="4" w:space="0" w:color="auto"/>
            </w:tcBorders>
            <w:vAlign w:val="center"/>
            <w:hideMark/>
          </w:tcPr>
          <w:p w:rsidR="006A7AB3" w:rsidRDefault="006A7AB3">
            <w:pPr>
              <w:spacing w:after="0" w:line="240" w:lineRule="auto"/>
              <w:jc w:val="both"/>
              <w:rPr>
                <w:rFonts w:ascii="Times New Roman" w:hAnsi="Times New Roman"/>
                <w:sz w:val="24"/>
                <w:szCs w:val="24"/>
              </w:rPr>
            </w:pPr>
            <w:r>
              <w:rPr>
                <w:rFonts w:ascii="Times New Roman" w:hAnsi="Times New Roman"/>
                <w:sz w:val="24"/>
                <w:szCs w:val="24"/>
              </w:rPr>
              <w:t>0</w:t>
            </w:r>
          </w:p>
        </w:tc>
      </w:tr>
    </w:tbl>
    <w:p w:rsidR="006A7AB3" w:rsidRDefault="006A7AB3" w:rsidP="006A7AB3">
      <w:pPr>
        <w:ind w:left="-426" w:firstLine="426"/>
        <w:contextualSpacing/>
        <w:jc w:val="both"/>
        <w:rPr>
          <w:rFonts w:ascii="Times New Roman" w:hAnsi="Times New Roman" w:cs="Times New Roman"/>
          <w:sz w:val="24"/>
          <w:szCs w:val="24"/>
        </w:rPr>
      </w:pPr>
    </w:p>
    <w:p w:rsidR="006A7AB3" w:rsidRPr="006A7AB3" w:rsidRDefault="006A7AB3" w:rsidP="006A7AB3">
      <w:pPr>
        <w:ind w:firstLine="567"/>
        <w:jc w:val="both"/>
        <w:rPr>
          <w:rFonts w:ascii="Times New Roman" w:hAnsi="Times New Roman" w:cs="Times New Roman"/>
          <w:sz w:val="28"/>
          <w:szCs w:val="28"/>
        </w:rPr>
      </w:pPr>
      <w:r>
        <w:rPr>
          <w:rFonts w:ascii="Times New Roman" w:hAnsi="Times New Roman" w:cs="Times New Roman"/>
          <w:sz w:val="24"/>
          <w:szCs w:val="24"/>
        </w:rPr>
        <w:tab/>
      </w:r>
      <w:r w:rsidRPr="006A7AB3">
        <w:rPr>
          <w:rFonts w:ascii="Times New Roman" w:hAnsi="Times New Roman" w:cs="Times New Roman"/>
          <w:sz w:val="28"/>
          <w:szCs w:val="28"/>
        </w:rPr>
        <w:t>Высокую оценку получили сельские школы от всех представителей общественности. Важно отметить внимание органов местного самоуправления и средств массовой информации к жизни школ и устойчивое заинтересованное отношение к ним со стороны социальных партнёров. Это в очередной раз подчёркивает важнейшую роль школы в жизни села, которая много лет осуществляет функции культурного центра территории.</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Органы местного самоуправления дают достаточно скромную оценку воспитательной системе школ. Высокую оценку (52%) получают поселковые школы и (57%) городские .</w:t>
      </w:r>
    </w:p>
    <w:p w:rsidR="006A7AB3" w:rsidRPr="006A7AB3" w:rsidRDefault="006A7AB3" w:rsidP="006A7AB3">
      <w:pPr>
        <w:ind w:firstLine="709"/>
        <w:jc w:val="both"/>
        <w:rPr>
          <w:rFonts w:ascii="Times New Roman" w:hAnsi="Times New Roman" w:cs="Times New Roman"/>
          <w:sz w:val="28"/>
          <w:szCs w:val="28"/>
        </w:rPr>
      </w:pPr>
      <w:r w:rsidRPr="006A7AB3">
        <w:rPr>
          <w:rFonts w:ascii="Times New Roman" w:hAnsi="Times New Roman" w:cs="Times New Roman"/>
          <w:sz w:val="28"/>
          <w:szCs w:val="28"/>
        </w:rPr>
        <w:t>Высокая оценка воспитательной системы в средствах массовой информации также колеблется от 42% в поселковых школах до 46% в городских. Такая оценка может быть связана с недостаточной степенью контактности с ними школ, отсутствием информации, которая могла быть использована в печати.</w:t>
      </w:r>
    </w:p>
    <w:p w:rsidR="006A7AB3" w:rsidRPr="006A7AB3" w:rsidRDefault="006A7AB3" w:rsidP="006A7AB3">
      <w:pPr>
        <w:ind w:firstLine="709"/>
        <w:jc w:val="both"/>
        <w:rPr>
          <w:rFonts w:ascii="Times New Roman" w:hAnsi="Times New Roman" w:cs="Times New Roman"/>
          <w:sz w:val="28"/>
          <w:szCs w:val="28"/>
        </w:rPr>
      </w:pPr>
      <w:r w:rsidRPr="006A7AB3">
        <w:rPr>
          <w:rFonts w:ascii="Times New Roman" w:hAnsi="Times New Roman" w:cs="Times New Roman"/>
          <w:sz w:val="28"/>
          <w:szCs w:val="28"/>
        </w:rPr>
        <w:t>Общая картина признания роли воспитательной системы в жизни территории позволяет говорить, что поселковые школы находятся в меньшей зоне признания, чем сельские и городские.</w:t>
      </w:r>
    </w:p>
    <w:p w:rsidR="006A7AB3" w:rsidRPr="006A7AB3" w:rsidRDefault="006A7AB3" w:rsidP="006A7AB3">
      <w:pPr>
        <w:ind w:left="-426" w:firstLine="426"/>
        <w:contextualSpacing/>
        <w:jc w:val="center"/>
        <w:rPr>
          <w:rFonts w:ascii="Times New Roman" w:hAnsi="Times New Roman" w:cs="Times New Roman"/>
          <w:b/>
          <w:sz w:val="28"/>
          <w:szCs w:val="28"/>
        </w:rPr>
      </w:pPr>
      <w:r w:rsidRPr="006A7AB3">
        <w:rPr>
          <w:rFonts w:ascii="Times New Roman" w:hAnsi="Times New Roman" w:cs="Times New Roman"/>
          <w:b/>
          <w:sz w:val="28"/>
          <w:szCs w:val="28"/>
        </w:rPr>
        <w:t>Основные выводы</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b/>
          <w:sz w:val="28"/>
          <w:szCs w:val="28"/>
        </w:rPr>
        <w:tab/>
      </w:r>
      <w:r w:rsidRPr="006A7AB3">
        <w:rPr>
          <w:rFonts w:ascii="Times New Roman" w:hAnsi="Times New Roman" w:cs="Times New Roman"/>
          <w:sz w:val="28"/>
          <w:szCs w:val="28"/>
        </w:rPr>
        <w:t xml:space="preserve">Цель мониторинга достигнута максимально полно. В мониторинге приняло участие 56 образовательных организаций, из них </w:t>
      </w:r>
      <w:r w:rsidRPr="006A7AB3">
        <w:rPr>
          <w:rFonts w:ascii="Times New Roman" w:hAnsi="Times New Roman" w:cs="Times New Roman"/>
          <w:sz w:val="28"/>
          <w:szCs w:val="28"/>
        </w:rPr>
        <w:tab/>
        <w:t>11 – сельских, 19 – поселковых, 26 – городских.</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Все участники мониторинга дали ответы на все поставленные вопросы, которые частично дополнялись информацией, учитывающей специфику воспитательной системы той или иной образовательной организации. </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Мониторинг предполагал самоанализ состояния воспитательной системы с тем, чтобы выявить сильные и слабые стороны её состояния. </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Общая оценка проработанности каждого структурного компонента воспитательной системы подтверждена данными, полученными в ходе последующего их детального анализа.  Конкретная оценка состояния воспитательных систем позволила сделать вывод о том, что в их условиях возможно обеспечить эффективность воспитательного процесса, достичь при </w:t>
      </w:r>
      <w:r w:rsidRPr="006A7AB3">
        <w:rPr>
          <w:rFonts w:ascii="Times New Roman" w:hAnsi="Times New Roman" w:cs="Times New Roman"/>
          <w:sz w:val="28"/>
          <w:szCs w:val="28"/>
        </w:rPr>
        <w:lastRenderedPageBreak/>
        <w:t xml:space="preserve">этом положительных результатов личностного развития учащихся. Этот вывод обоснован сопоставлением полученных данных из нескольких взаимно связанных вопросов. </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Сравнительный анализ данных, который был использован при обработке ответов, позволяет говорить о достоверности следующих выводов:</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1. Оценка руководителями состояния воспитательной системы образовательной организации не совпадает с реальными данными, которые те же руководители давали в последующих ответах. Только три школы определили своё состояние как становление, хотя данные 16 школ по ряду показателей соответствуют именно стадии становления, а не функционирования и тем более не могут соответствовать стадии развития. Такая погрешность в оценке связана, вероятно, с недостаточным владением знаниями о воспитательной системе как организованной воспитательной среде.</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2. Решение воспитательных задач, независимо от состояния воспитательной системы, имеют общие проблемы. Самой сложной, в настоящее время, для всех участников мониторинга, оказалась задача ориентации школьников на диалог культур в поликультурном пространстве РФ. Несмотря на ряд государственных концепций и методических рекомендаций, которые лежат в основе ФГОС, школы не накопили позитивного опыта решения этой задачи, 23 школы могут решать её только частично.</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3. Формирование нравственно осознанной позиции ребёнка, проявляющейся в самоопределении, творческом самовыражении, социальной инициативе и т.п. возможно только при воспитательных отношениях сотрудничества, которые в 20 школах разделяют около 75% педагогов. Эта цифра коррелирует с оценкой познавательной культуры личности педагога как ценности (22 школы). Познавательная культура является одним из показателей готовности педагога к сотрудничеству. Воспитательная деятельность предполагает постоянное самообразование педагога. Однако, часть педагогов - 25% - не ставит познавательную культуру как личную ценность, отсюда проистекает ряд проблем, тормозящих личностное развитие школьника.</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4. Организационная структура системы практически во всех образовательных организациях находится в состоянии упорядочивания. Достижение целостности и зрелости воспитательной системы предполагает </w:t>
      </w:r>
      <w:r w:rsidRPr="006A7AB3">
        <w:rPr>
          <w:rFonts w:ascii="Times New Roman" w:hAnsi="Times New Roman" w:cs="Times New Roman"/>
          <w:sz w:val="28"/>
          <w:szCs w:val="28"/>
        </w:rPr>
        <w:lastRenderedPageBreak/>
        <w:t xml:space="preserve">целесообразность каждого структурного элемента, каждой формы организации воспитательной деятельности. Полученные данные нуждаются в уточнении, т.к. количественные показатели говорят о несоответствии ряда форм или возрастным запросам обучающихся, или не совпадают с данными учёта таких форм как общественные объединения. </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5. Значительное число недоработок выявилось в вопросах организации ученического самоуправления. Несмотря на то, что этот вопрос для педагогической практики не является новым, в отношении самоуправления допускается много педагогических ошибок. Такое состояние данного средства воспитания нуждается в постоянном обращении к нему на курсах повышения квалификации.</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6. Родительская общественность в данных образовательных организациях проявляет себя традиционно. Примерно 50% родителей постоянно проявляют интерес к жизни школы, а другая половина взаимодействуют ситуативно. Важным положительным показателем является достаточно высокий интерес к общественному отчёту руководителей. </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7. Школы используют объекты окружающей среды в решении воспитательных задач. Недостаточно используются возможности объектов производственной сферы, что подтверждает необходимость современного подхода к профориентации.</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 xml:space="preserve">8. Отношение к школе в окружающей её среде оказывает существенное влияние на отношение к школе семьи, и самого ребёнка. Средства массовой информации играют в этом вопросе важную роль. Для поднятия авторитета школы нужны современные технологии связи с общественностью, овладение которыми нужно вводить в систему обучения руководящих работников. </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cs="Times New Roman"/>
          <w:sz w:val="28"/>
          <w:szCs w:val="28"/>
        </w:rPr>
        <w:t>9</w:t>
      </w:r>
      <w:r w:rsidRPr="006A7AB3">
        <w:rPr>
          <w:rFonts w:ascii="Times New Roman" w:hAnsi="Times New Roman" w:cs="Times New Roman"/>
          <w:i/>
          <w:sz w:val="28"/>
          <w:szCs w:val="28"/>
        </w:rPr>
        <w:t xml:space="preserve">. </w:t>
      </w:r>
      <w:r w:rsidRPr="006A7AB3">
        <w:rPr>
          <w:rFonts w:ascii="Times New Roman" w:hAnsi="Times New Roman" w:cs="Times New Roman"/>
          <w:sz w:val="28"/>
          <w:szCs w:val="28"/>
        </w:rPr>
        <w:t>Необходимо включать такие формы организации воспитательной деятельности, которые позволят погружаться в активное созидательное взаимодействие с объектами окружающей среды, что будет способствовать личностному разностороннему развитию.</w:t>
      </w:r>
    </w:p>
    <w:p w:rsidR="006A7AB3" w:rsidRPr="006A7AB3" w:rsidRDefault="006A7AB3" w:rsidP="006A7AB3">
      <w:pPr>
        <w:ind w:firstLine="567"/>
        <w:jc w:val="both"/>
        <w:rPr>
          <w:rFonts w:ascii="Times New Roman" w:hAnsi="Times New Roman" w:cs="Times New Roman"/>
          <w:sz w:val="28"/>
          <w:szCs w:val="28"/>
        </w:rPr>
      </w:pPr>
      <w:r w:rsidRPr="006A7AB3">
        <w:rPr>
          <w:rFonts w:ascii="Times New Roman" w:hAnsi="Times New Roman"/>
          <w:sz w:val="28"/>
          <w:szCs w:val="28"/>
        </w:rPr>
        <w:t xml:space="preserve">10. Вопросы мониторинга показали недостаточно полное представление о показателях уровня состояния воспитательной системы. Изучение процесса развития воспитательной системы от этапа создания до целостной зрелой саморегулируемой и саморазвивающейся системы, обеспечивающей высокий </w:t>
      </w:r>
      <w:r w:rsidRPr="006A7AB3">
        <w:rPr>
          <w:rFonts w:ascii="Times New Roman" w:hAnsi="Times New Roman"/>
          <w:sz w:val="28"/>
          <w:szCs w:val="28"/>
        </w:rPr>
        <w:lastRenderedPageBreak/>
        <w:t xml:space="preserve">уровень воспитанности, можно построить в рамках заинтересованного </w:t>
      </w:r>
      <w:r w:rsidRPr="006A7AB3">
        <w:rPr>
          <w:rFonts w:ascii="Times New Roman" w:hAnsi="Times New Roman" w:cs="Times New Roman"/>
          <w:sz w:val="28"/>
          <w:szCs w:val="28"/>
        </w:rPr>
        <w:t xml:space="preserve">профессионального сообщества в спецкурсе для продвинутых школ. </w:t>
      </w:r>
    </w:p>
    <w:p w:rsidR="00DB751C" w:rsidRPr="006A7AB3" w:rsidRDefault="00DB751C">
      <w:pPr>
        <w:rPr>
          <w:sz w:val="28"/>
          <w:szCs w:val="28"/>
        </w:rPr>
      </w:pPr>
    </w:p>
    <w:sectPr w:rsidR="00DB751C" w:rsidRPr="006A7AB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7F" w:rsidRDefault="00045A7F" w:rsidP="006A7AB3">
      <w:pPr>
        <w:spacing w:after="0" w:line="240" w:lineRule="auto"/>
      </w:pPr>
      <w:r>
        <w:separator/>
      </w:r>
    </w:p>
  </w:endnote>
  <w:endnote w:type="continuationSeparator" w:id="0">
    <w:p w:rsidR="00045A7F" w:rsidRDefault="00045A7F" w:rsidP="006A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86348"/>
      <w:docPartObj>
        <w:docPartGallery w:val="Page Numbers (Bottom of Page)"/>
        <w:docPartUnique/>
      </w:docPartObj>
    </w:sdtPr>
    <w:sdtEndPr/>
    <w:sdtContent>
      <w:p w:rsidR="006A7AB3" w:rsidRDefault="006A7AB3">
        <w:pPr>
          <w:pStyle w:val="a9"/>
          <w:jc w:val="right"/>
        </w:pPr>
        <w:r>
          <w:fldChar w:fldCharType="begin"/>
        </w:r>
        <w:r>
          <w:instrText>PAGE   \* MERGEFORMAT</w:instrText>
        </w:r>
        <w:r>
          <w:fldChar w:fldCharType="separate"/>
        </w:r>
        <w:r w:rsidR="007A1D6E">
          <w:rPr>
            <w:noProof/>
          </w:rPr>
          <w:t>32</w:t>
        </w:r>
        <w:r>
          <w:fldChar w:fldCharType="end"/>
        </w:r>
      </w:p>
    </w:sdtContent>
  </w:sdt>
  <w:p w:rsidR="006A7AB3" w:rsidRDefault="006A7AB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7F" w:rsidRDefault="00045A7F" w:rsidP="006A7AB3">
      <w:pPr>
        <w:spacing w:after="0" w:line="240" w:lineRule="auto"/>
      </w:pPr>
      <w:r>
        <w:separator/>
      </w:r>
    </w:p>
  </w:footnote>
  <w:footnote w:type="continuationSeparator" w:id="0">
    <w:p w:rsidR="00045A7F" w:rsidRDefault="00045A7F" w:rsidP="006A7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7A90"/>
    <w:multiLevelType w:val="hybridMultilevel"/>
    <w:tmpl w:val="ABAC95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1D5F728B"/>
    <w:multiLevelType w:val="hybridMultilevel"/>
    <w:tmpl w:val="952E767A"/>
    <w:lvl w:ilvl="0" w:tplc="4D1208D8">
      <w:start w:val="8"/>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25E73E74"/>
    <w:multiLevelType w:val="hybridMultilevel"/>
    <w:tmpl w:val="CD56D40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72614C2"/>
    <w:multiLevelType w:val="multilevel"/>
    <w:tmpl w:val="2392F880"/>
    <w:lvl w:ilvl="0">
      <w:start w:val="5"/>
      <w:numFmt w:val="decimal"/>
      <w:lvlText w:val="%1."/>
      <w:lvlJc w:val="left"/>
      <w:pPr>
        <w:ind w:left="1068" w:hanging="360"/>
      </w:p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33201270"/>
    <w:multiLevelType w:val="multilevel"/>
    <w:tmpl w:val="995282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BC11BDD"/>
    <w:multiLevelType w:val="hybridMultilevel"/>
    <w:tmpl w:val="0EE49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D134A50"/>
    <w:multiLevelType w:val="hybridMultilevel"/>
    <w:tmpl w:val="8CF651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FE158DD"/>
    <w:multiLevelType w:val="multilevel"/>
    <w:tmpl w:val="E766D5A4"/>
    <w:lvl w:ilvl="0">
      <w:start w:val="1"/>
      <w:numFmt w:val="decimal"/>
      <w:lvlText w:val="%1."/>
      <w:lvlJc w:val="left"/>
      <w:pPr>
        <w:ind w:left="1068" w:hanging="360"/>
      </w:pPr>
      <w:rPr>
        <w:b/>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0"/>
    <w:rsid w:val="00045A7F"/>
    <w:rsid w:val="002853D0"/>
    <w:rsid w:val="0043526A"/>
    <w:rsid w:val="006A7AB3"/>
    <w:rsid w:val="007A1D6E"/>
    <w:rsid w:val="00AC1C60"/>
    <w:rsid w:val="00DB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90B69-6270-4D4B-80C3-89A48012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AB3"/>
    <w:pPr>
      <w:spacing w:after="200" w:line="276" w:lineRule="auto"/>
    </w:pPr>
  </w:style>
  <w:style w:type="paragraph" w:styleId="1">
    <w:name w:val="heading 1"/>
    <w:basedOn w:val="a"/>
    <w:next w:val="a"/>
    <w:link w:val="10"/>
    <w:uiPriority w:val="9"/>
    <w:qFormat/>
    <w:rsid w:val="006A7AB3"/>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6A7AB3"/>
    <w:pPr>
      <w:keepNext/>
      <w:spacing w:before="240" w:after="60"/>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6A7AB3"/>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AB3"/>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6A7AB3"/>
    <w:rPr>
      <w:rFonts w:ascii="Arial" w:eastAsia="Calibri" w:hAnsi="Arial" w:cs="Arial"/>
      <w:b/>
      <w:bCs/>
      <w:i/>
      <w:iCs/>
      <w:sz w:val="28"/>
      <w:szCs w:val="28"/>
    </w:rPr>
  </w:style>
  <w:style w:type="character" w:customStyle="1" w:styleId="30">
    <w:name w:val="Заголовок 3 Знак"/>
    <w:basedOn w:val="a0"/>
    <w:link w:val="3"/>
    <w:semiHidden/>
    <w:rsid w:val="006A7AB3"/>
    <w:rPr>
      <w:rFonts w:ascii="Arial" w:eastAsia="Calibri" w:hAnsi="Arial" w:cs="Arial"/>
      <w:b/>
      <w:bCs/>
      <w:sz w:val="26"/>
      <w:szCs w:val="26"/>
    </w:rPr>
  </w:style>
  <w:style w:type="paragraph" w:customStyle="1" w:styleId="msonormal0">
    <w:name w:val="msonormal"/>
    <w:basedOn w:val="a"/>
    <w:uiPriority w:val="99"/>
    <w:rsid w:val="006A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Текст сноски Знак"/>
    <w:basedOn w:val="a0"/>
    <w:link w:val="a4"/>
    <w:uiPriority w:val="99"/>
    <w:semiHidden/>
    <w:rsid w:val="006A7AB3"/>
    <w:rPr>
      <w:rFonts w:ascii="Calibri" w:eastAsia="Calibri" w:hAnsi="Calibri" w:cs="Times New Roman"/>
      <w:sz w:val="20"/>
      <w:szCs w:val="20"/>
    </w:rPr>
  </w:style>
  <w:style w:type="paragraph" w:styleId="a4">
    <w:name w:val="footnote text"/>
    <w:basedOn w:val="a"/>
    <w:link w:val="a3"/>
    <w:uiPriority w:val="99"/>
    <w:semiHidden/>
    <w:unhideWhenUsed/>
    <w:rsid w:val="006A7AB3"/>
    <w:pPr>
      <w:spacing w:after="160" w:line="256" w:lineRule="auto"/>
    </w:pPr>
    <w:rPr>
      <w:rFonts w:ascii="Calibri" w:eastAsia="Calibri" w:hAnsi="Calibri" w:cs="Times New Roman"/>
      <w:sz w:val="20"/>
      <w:szCs w:val="20"/>
    </w:rPr>
  </w:style>
  <w:style w:type="character" w:customStyle="1" w:styleId="a5">
    <w:name w:val="Текст примечания Знак"/>
    <w:basedOn w:val="a0"/>
    <w:link w:val="a6"/>
    <w:uiPriority w:val="99"/>
    <w:semiHidden/>
    <w:rsid w:val="006A7AB3"/>
    <w:rPr>
      <w:rFonts w:eastAsiaTheme="minorEastAsia"/>
      <w:sz w:val="20"/>
      <w:szCs w:val="20"/>
      <w:lang w:eastAsia="ru-RU"/>
    </w:rPr>
  </w:style>
  <w:style w:type="paragraph" w:styleId="a6">
    <w:name w:val="annotation text"/>
    <w:basedOn w:val="a"/>
    <w:link w:val="a5"/>
    <w:uiPriority w:val="99"/>
    <w:semiHidden/>
    <w:unhideWhenUsed/>
    <w:rsid w:val="006A7AB3"/>
    <w:pPr>
      <w:spacing w:line="240" w:lineRule="auto"/>
    </w:pPr>
    <w:rPr>
      <w:rFonts w:eastAsiaTheme="minorEastAsia"/>
      <w:sz w:val="20"/>
      <w:szCs w:val="20"/>
      <w:lang w:eastAsia="ru-RU"/>
    </w:rPr>
  </w:style>
  <w:style w:type="paragraph" w:styleId="a7">
    <w:name w:val="header"/>
    <w:basedOn w:val="a"/>
    <w:link w:val="a8"/>
    <w:uiPriority w:val="99"/>
    <w:unhideWhenUsed/>
    <w:rsid w:val="006A7A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7AB3"/>
  </w:style>
  <w:style w:type="paragraph" w:styleId="a9">
    <w:name w:val="footer"/>
    <w:basedOn w:val="a"/>
    <w:link w:val="aa"/>
    <w:uiPriority w:val="99"/>
    <w:unhideWhenUsed/>
    <w:rsid w:val="006A7AB3"/>
    <w:pPr>
      <w:tabs>
        <w:tab w:val="center" w:pos="4677"/>
        <w:tab w:val="right" w:pos="9355"/>
      </w:tabs>
      <w:spacing w:after="160" w:line="256" w:lineRule="auto"/>
    </w:pPr>
    <w:rPr>
      <w:rFonts w:ascii="Calibri" w:eastAsia="Calibri" w:hAnsi="Calibri" w:cs="Times New Roman"/>
    </w:rPr>
  </w:style>
  <w:style w:type="character" w:customStyle="1" w:styleId="aa">
    <w:name w:val="Нижний колонтитул Знак"/>
    <w:basedOn w:val="a0"/>
    <w:link w:val="a9"/>
    <w:uiPriority w:val="99"/>
    <w:rsid w:val="006A7AB3"/>
    <w:rPr>
      <w:rFonts w:ascii="Calibri" w:eastAsia="Calibri" w:hAnsi="Calibri" w:cs="Times New Roman"/>
    </w:rPr>
  </w:style>
  <w:style w:type="paragraph" w:styleId="ab">
    <w:name w:val="Title"/>
    <w:basedOn w:val="a"/>
    <w:link w:val="ac"/>
    <w:uiPriority w:val="99"/>
    <w:qFormat/>
    <w:rsid w:val="006A7AB3"/>
    <w:pPr>
      <w:spacing w:after="0" w:line="240" w:lineRule="auto"/>
      <w:jc w:val="center"/>
    </w:pPr>
    <w:rPr>
      <w:rFonts w:ascii="Cambria" w:eastAsia="Times New Roman" w:hAnsi="Cambria" w:cs="Times New Roman"/>
      <w:b/>
      <w:bCs/>
      <w:kern w:val="28"/>
      <w:sz w:val="32"/>
      <w:szCs w:val="32"/>
    </w:rPr>
  </w:style>
  <w:style w:type="character" w:customStyle="1" w:styleId="ac">
    <w:name w:val="Заголовок Знак"/>
    <w:basedOn w:val="a0"/>
    <w:link w:val="ab"/>
    <w:uiPriority w:val="99"/>
    <w:rsid w:val="006A7AB3"/>
    <w:rPr>
      <w:rFonts w:ascii="Cambria" w:eastAsia="Times New Roman" w:hAnsi="Cambria" w:cs="Times New Roman"/>
      <w:b/>
      <w:bCs/>
      <w:kern w:val="28"/>
      <w:sz w:val="32"/>
      <w:szCs w:val="32"/>
    </w:rPr>
  </w:style>
  <w:style w:type="character" w:customStyle="1" w:styleId="ad">
    <w:name w:val="Основной текст Знак"/>
    <w:basedOn w:val="a0"/>
    <w:link w:val="ae"/>
    <w:uiPriority w:val="1"/>
    <w:semiHidden/>
    <w:rsid w:val="006A7AB3"/>
    <w:rPr>
      <w:rFonts w:ascii="Calibri" w:eastAsia="Calibri" w:hAnsi="Calibri" w:cs="Times New Roman"/>
      <w:sz w:val="20"/>
      <w:szCs w:val="20"/>
      <w:lang w:eastAsia="ru-RU"/>
    </w:rPr>
  </w:style>
  <w:style w:type="paragraph" w:styleId="ae">
    <w:name w:val="Body Text"/>
    <w:basedOn w:val="a"/>
    <w:link w:val="ad"/>
    <w:uiPriority w:val="1"/>
    <w:semiHidden/>
    <w:unhideWhenUsed/>
    <w:qFormat/>
    <w:rsid w:val="006A7AB3"/>
    <w:pPr>
      <w:spacing w:after="120"/>
    </w:pPr>
    <w:rPr>
      <w:rFonts w:ascii="Calibri" w:eastAsia="Calibri" w:hAnsi="Calibri" w:cs="Times New Roman"/>
      <w:sz w:val="20"/>
      <w:szCs w:val="20"/>
      <w:lang w:eastAsia="ru-RU"/>
    </w:rPr>
  </w:style>
  <w:style w:type="character" w:customStyle="1" w:styleId="af">
    <w:name w:val="Основной текст с отступом Знак"/>
    <w:basedOn w:val="a0"/>
    <w:link w:val="af0"/>
    <w:uiPriority w:val="99"/>
    <w:semiHidden/>
    <w:rsid w:val="006A7AB3"/>
    <w:rPr>
      <w:rFonts w:ascii="Calibri" w:eastAsia="Calibri" w:hAnsi="Calibri" w:cs="Times New Roman"/>
      <w:sz w:val="20"/>
      <w:szCs w:val="20"/>
    </w:rPr>
  </w:style>
  <w:style w:type="paragraph" w:styleId="af0">
    <w:name w:val="Body Text Indent"/>
    <w:basedOn w:val="a"/>
    <w:link w:val="af"/>
    <w:uiPriority w:val="99"/>
    <w:semiHidden/>
    <w:unhideWhenUsed/>
    <w:rsid w:val="006A7AB3"/>
    <w:pPr>
      <w:spacing w:after="120" w:line="480" w:lineRule="auto"/>
    </w:pPr>
    <w:rPr>
      <w:rFonts w:ascii="Calibri" w:eastAsia="Calibri" w:hAnsi="Calibri" w:cs="Times New Roman"/>
      <w:sz w:val="20"/>
      <w:szCs w:val="20"/>
    </w:rPr>
  </w:style>
  <w:style w:type="character" w:customStyle="1" w:styleId="21">
    <w:name w:val="Основной текст 2 Знак"/>
    <w:basedOn w:val="a0"/>
    <w:link w:val="22"/>
    <w:uiPriority w:val="99"/>
    <w:semiHidden/>
    <w:rsid w:val="006A7AB3"/>
    <w:rPr>
      <w:rFonts w:ascii="Calibri" w:eastAsia="Calibri" w:hAnsi="Calibri" w:cs="Times New Roman"/>
      <w:szCs w:val="20"/>
    </w:rPr>
  </w:style>
  <w:style w:type="paragraph" w:styleId="22">
    <w:name w:val="Body Text 2"/>
    <w:basedOn w:val="a"/>
    <w:link w:val="21"/>
    <w:uiPriority w:val="99"/>
    <w:semiHidden/>
    <w:unhideWhenUsed/>
    <w:rsid w:val="006A7AB3"/>
    <w:pPr>
      <w:spacing w:after="120" w:line="480" w:lineRule="auto"/>
    </w:pPr>
    <w:rPr>
      <w:rFonts w:ascii="Calibri" w:eastAsia="Calibri" w:hAnsi="Calibri" w:cs="Times New Roman"/>
      <w:szCs w:val="20"/>
    </w:rPr>
  </w:style>
  <w:style w:type="character" w:customStyle="1" w:styleId="23">
    <w:name w:val="Основной текст с отступом 2 Знак"/>
    <w:basedOn w:val="a0"/>
    <w:link w:val="24"/>
    <w:uiPriority w:val="99"/>
    <w:semiHidden/>
    <w:rsid w:val="006A7AB3"/>
    <w:rPr>
      <w:rFonts w:ascii="Times New Roman" w:eastAsia="Calibri" w:hAnsi="Times New Roman" w:cs="Times New Roman"/>
      <w:sz w:val="28"/>
      <w:szCs w:val="20"/>
      <w:lang w:eastAsia="ru-RU"/>
    </w:rPr>
  </w:style>
  <w:style w:type="paragraph" w:styleId="24">
    <w:name w:val="Body Text Indent 2"/>
    <w:basedOn w:val="a"/>
    <w:link w:val="23"/>
    <w:uiPriority w:val="99"/>
    <w:semiHidden/>
    <w:unhideWhenUsed/>
    <w:rsid w:val="006A7AB3"/>
    <w:pPr>
      <w:spacing w:after="0" w:line="240" w:lineRule="auto"/>
      <w:ind w:firstLine="720"/>
      <w:jc w:val="both"/>
    </w:pPr>
    <w:rPr>
      <w:rFonts w:ascii="Times New Roman" w:eastAsia="Calibri" w:hAnsi="Times New Roman" w:cs="Times New Roman"/>
      <w:sz w:val="28"/>
      <w:szCs w:val="20"/>
      <w:lang w:eastAsia="ru-RU"/>
    </w:rPr>
  </w:style>
  <w:style w:type="character" w:customStyle="1" w:styleId="31">
    <w:name w:val="Основной текст с отступом 3 Знак"/>
    <w:basedOn w:val="a0"/>
    <w:link w:val="32"/>
    <w:uiPriority w:val="99"/>
    <w:semiHidden/>
    <w:rsid w:val="006A7AB3"/>
    <w:rPr>
      <w:rFonts w:ascii="Calibri" w:eastAsia="Calibri" w:hAnsi="Calibri" w:cs="Times New Roman"/>
      <w:sz w:val="16"/>
      <w:szCs w:val="16"/>
    </w:rPr>
  </w:style>
  <w:style w:type="paragraph" w:styleId="32">
    <w:name w:val="Body Text Indent 3"/>
    <w:basedOn w:val="a"/>
    <w:link w:val="31"/>
    <w:uiPriority w:val="99"/>
    <w:semiHidden/>
    <w:unhideWhenUsed/>
    <w:rsid w:val="006A7AB3"/>
    <w:pPr>
      <w:spacing w:after="120" w:line="240" w:lineRule="auto"/>
      <w:ind w:left="283"/>
    </w:pPr>
    <w:rPr>
      <w:rFonts w:ascii="Calibri" w:eastAsia="Calibri" w:hAnsi="Calibri" w:cs="Times New Roman"/>
      <w:sz w:val="16"/>
      <w:szCs w:val="16"/>
    </w:rPr>
  </w:style>
  <w:style w:type="paragraph" w:styleId="af1">
    <w:name w:val="Document Map"/>
    <w:basedOn w:val="a"/>
    <w:link w:val="af2"/>
    <w:uiPriority w:val="99"/>
    <w:semiHidden/>
    <w:unhideWhenUsed/>
    <w:rsid w:val="006A7AB3"/>
    <w:pPr>
      <w:shd w:val="clear" w:color="auto" w:fill="000080"/>
    </w:pPr>
    <w:rPr>
      <w:rFonts w:ascii="Tahoma" w:eastAsia="Calibri" w:hAnsi="Tahoma" w:cs="Tahoma"/>
      <w:sz w:val="20"/>
      <w:szCs w:val="20"/>
    </w:rPr>
  </w:style>
  <w:style w:type="character" w:customStyle="1" w:styleId="af2">
    <w:name w:val="Схема документа Знак"/>
    <w:basedOn w:val="a0"/>
    <w:link w:val="af1"/>
    <w:uiPriority w:val="99"/>
    <w:semiHidden/>
    <w:rsid w:val="006A7AB3"/>
    <w:rPr>
      <w:rFonts w:ascii="Tahoma" w:eastAsia="Calibri" w:hAnsi="Tahoma" w:cs="Tahoma"/>
      <w:sz w:val="20"/>
      <w:szCs w:val="20"/>
      <w:shd w:val="clear" w:color="auto" w:fill="000080"/>
    </w:rPr>
  </w:style>
  <w:style w:type="character" w:customStyle="1" w:styleId="af3">
    <w:name w:val="Текст Знак"/>
    <w:basedOn w:val="a0"/>
    <w:link w:val="af4"/>
    <w:uiPriority w:val="99"/>
    <w:semiHidden/>
    <w:rsid w:val="006A7AB3"/>
    <w:rPr>
      <w:rFonts w:ascii="Courier New" w:eastAsia="Calibri" w:hAnsi="Courier New" w:cs="Times New Roman"/>
      <w:sz w:val="20"/>
      <w:szCs w:val="20"/>
    </w:rPr>
  </w:style>
  <w:style w:type="paragraph" w:styleId="af4">
    <w:name w:val="Plain Text"/>
    <w:basedOn w:val="a"/>
    <w:link w:val="af3"/>
    <w:uiPriority w:val="99"/>
    <w:semiHidden/>
    <w:unhideWhenUsed/>
    <w:rsid w:val="006A7AB3"/>
    <w:pPr>
      <w:spacing w:after="0" w:line="240" w:lineRule="auto"/>
      <w:jc w:val="both"/>
    </w:pPr>
    <w:rPr>
      <w:rFonts w:ascii="Courier New" w:eastAsia="Calibri" w:hAnsi="Courier New" w:cs="Times New Roman"/>
      <w:sz w:val="20"/>
      <w:szCs w:val="20"/>
    </w:rPr>
  </w:style>
  <w:style w:type="character" w:customStyle="1" w:styleId="af5">
    <w:name w:val="Тема примечания Знак"/>
    <w:basedOn w:val="a5"/>
    <w:link w:val="af6"/>
    <w:uiPriority w:val="99"/>
    <w:semiHidden/>
    <w:rsid w:val="006A7AB3"/>
    <w:rPr>
      <w:rFonts w:eastAsiaTheme="minorEastAsia"/>
      <w:b/>
      <w:bCs/>
      <w:sz w:val="20"/>
      <w:szCs w:val="20"/>
      <w:lang w:eastAsia="ru-RU"/>
    </w:rPr>
  </w:style>
  <w:style w:type="paragraph" w:styleId="af6">
    <w:name w:val="annotation subject"/>
    <w:basedOn w:val="a6"/>
    <w:next w:val="a6"/>
    <w:link w:val="af5"/>
    <w:uiPriority w:val="99"/>
    <w:semiHidden/>
    <w:unhideWhenUsed/>
    <w:rsid w:val="006A7AB3"/>
    <w:rPr>
      <w:b/>
      <w:bCs/>
    </w:rPr>
  </w:style>
  <w:style w:type="character" w:customStyle="1" w:styleId="af7">
    <w:name w:val="Текст выноски Знак"/>
    <w:basedOn w:val="a0"/>
    <w:link w:val="af8"/>
    <w:uiPriority w:val="99"/>
    <w:semiHidden/>
    <w:rsid w:val="006A7AB3"/>
    <w:rPr>
      <w:rFonts w:ascii="Tahoma" w:eastAsiaTheme="minorEastAsia" w:hAnsi="Tahoma" w:cs="Tahoma"/>
      <w:sz w:val="16"/>
      <w:szCs w:val="16"/>
      <w:lang w:eastAsia="ru-RU"/>
    </w:rPr>
  </w:style>
  <w:style w:type="paragraph" w:styleId="af8">
    <w:name w:val="Balloon Text"/>
    <w:basedOn w:val="a"/>
    <w:link w:val="af7"/>
    <w:uiPriority w:val="99"/>
    <w:semiHidden/>
    <w:unhideWhenUsed/>
    <w:rsid w:val="006A7AB3"/>
    <w:pPr>
      <w:spacing w:after="0" w:line="240" w:lineRule="auto"/>
    </w:pPr>
    <w:rPr>
      <w:rFonts w:ascii="Tahoma" w:eastAsiaTheme="minorEastAsia" w:hAnsi="Tahoma" w:cs="Tahoma"/>
      <w:sz w:val="16"/>
      <w:szCs w:val="16"/>
      <w:lang w:eastAsia="ru-RU"/>
    </w:rPr>
  </w:style>
  <w:style w:type="character" w:customStyle="1" w:styleId="af9">
    <w:name w:val="Без интервала Знак"/>
    <w:basedOn w:val="a0"/>
    <w:link w:val="afa"/>
    <w:uiPriority w:val="1"/>
    <w:locked/>
    <w:rsid w:val="006A7AB3"/>
    <w:rPr>
      <w:rFonts w:ascii="Calibri" w:eastAsia="Calibri" w:hAnsi="Calibri" w:cs="Times New Roman"/>
    </w:rPr>
  </w:style>
  <w:style w:type="paragraph" w:styleId="afa">
    <w:name w:val="No Spacing"/>
    <w:link w:val="af9"/>
    <w:uiPriority w:val="1"/>
    <w:qFormat/>
    <w:rsid w:val="006A7AB3"/>
    <w:pPr>
      <w:spacing w:after="0" w:line="240" w:lineRule="auto"/>
    </w:pPr>
    <w:rPr>
      <w:rFonts w:ascii="Calibri" w:eastAsia="Calibri" w:hAnsi="Calibri" w:cs="Times New Roman"/>
    </w:rPr>
  </w:style>
  <w:style w:type="paragraph" w:styleId="afb">
    <w:name w:val="List Paragraph"/>
    <w:aliases w:val="ITL List Paragraph"/>
    <w:basedOn w:val="a"/>
    <w:uiPriority w:val="1"/>
    <w:qFormat/>
    <w:rsid w:val="006A7AB3"/>
    <w:pPr>
      <w:ind w:left="720"/>
      <w:contextualSpacing/>
    </w:pPr>
    <w:rPr>
      <w:rFonts w:eastAsiaTheme="minorEastAsia"/>
      <w:lang w:eastAsia="ru-RU"/>
    </w:rPr>
  </w:style>
  <w:style w:type="paragraph" w:customStyle="1" w:styleId="11">
    <w:name w:val="Без интервала1"/>
    <w:uiPriority w:val="99"/>
    <w:rsid w:val="006A7AB3"/>
    <w:pPr>
      <w:spacing w:after="0" w:line="240" w:lineRule="auto"/>
    </w:pPr>
    <w:rPr>
      <w:rFonts w:ascii="Calibri" w:eastAsia="Calibri" w:hAnsi="Calibri" w:cs="Times New Roman"/>
    </w:rPr>
  </w:style>
  <w:style w:type="paragraph" w:customStyle="1" w:styleId="12">
    <w:name w:val="Абзац списка1"/>
    <w:basedOn w:val="a"/>
    <w:uiPriority w:val="99"/>
    <w:rsid w:val="006A7AB3"/>
    <w:pPr>
      <w:ind w:left="720"/>
      <w:contextualSpacing/>
    </w:pPr>
    <w:rPr>
      <w:rFonts w:ascii="Calibri" w:eastAsia="Calibri" w:hAnsi="Calibri" w:cs="Times New Roman"/>
      <w:lang w:eastAsia="ru-RU"/>
    </w:rPr>
  </w:style>
  <w:style w:type="paragraph" w:customStyle="1" w:styleId="c0">
    <w:name w:val="c0"/>
    <w:basedOn w:val="a"/>
    <w:uiPriority w:val="99"/>
    <w:rsid w:val="006A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6A7AB3"/>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6A7A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6A7AB3"/>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normaltable">
    <w:name w:val="normaltable"/>
    <w:basedOn w:val="a"/>
    <w:uiPriority w:val="99"/>
    <w:rsid w:val="006A7AB3"/>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uiPriority w:val="99"/>
    <w:rsid w:val="006A7AB3"/>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style1">
    <w:name w:val="fontstyle1"/>
    <w:basedOn w:val="a"/>
    <w:uiPriority w:val="99"/>
    <w:rsid w:val="006A7A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uiPriority w:val="99"/>
    <w:rsid w:val="006A7AB3"/>
    <w:pPr>
      <w:spacing w:before="100" w:beforeAutospacing="1" w:after="100" w:afterAutospacing="1" w:line="240" w:lineRule="auto"/>
    </w:pPr>
    <w:rPr>
      <w:rFonts w:ascii="Times New Roman" w:eastAsia="Times New Roman" w:hAnsi="Times New Roman" w:cs="Times New Roman"/>
      <w:b/>
      <w:bCs/>
      <w:i/>
      <w:iCs/>
      <w:color w:val="000000"/>
      <w:sz w:val="28"/>
      <w:szCs w:val="28"/>
      <w:lang w:eastAsia="ru-RU"/>
    </w:rPr>
  </w:style>
  <w:style w:type="paragraph" w:customStyle="1" w:styleId="fontstyle3">
    <w:name w:val="fontstyle3"/>
    <w:basedOn w:val="a"/>
    <w:uiPriority w:val="99"/>
    <w:rsid w:val="006A7AB3"/>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style4">
    <w:name w:val="fontstyle4"/>
    <w:basedOn w:val="a"/>
    <w:uiPriority w:val="99"/>
    <w:rsid w:val="006A7AB3"/>
    <w:pPr>
      <w:spacing w:before="100" w:beforeAutospacing="1" w:after="100" w:afterAutospacing="1" w:line="240" w:lineRule="auto"/>
    </w:pPr>
    <w:rPr>
      <w:rFonts w:ascii="Sylfaen" w:eastAsia="Times New Roman" w:hAnsi="Sylfaen" w:cs="Times New Roman"/>
      <w:color w:val="000000"/>
      <w:sz w:val="28"/>
      <w:szCs w:val="28"/>
      <w:lang w:eastAsia="ru-RU"/>
    </w:rPr>
  </w:style>
  <w:style w:type="paragraph" w:customStyle="1" w:styleId="fontstyle5">
    <w:name w:val="fontstyle5"/>
    <w:basedOn w:val="a"/>
    <w:uiPriority w:val="99"/>
    <w:rsid w:val="006A7AB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style6">
    <w:name w:val="fontstyle6"/>
    <w:basedOn w:val="a"/>
    <w:uiPriority w:val="99"/>
    <w:rsid w:val="006A7AB3"/>
    <w:pPr>
      <w:spacing w:before="100" w:beforeAutospacing="1" w:after="100" w:afterAutospacing="1" w:line="240" w:lineRule="auto"/>
    </w:pPr>
    <w:rPr>
      <w:rFonts w:ascii="Wingdings" w:eastAsia="Times New Roman" w:hAnsi="Wingdings" w:cs="Times New Roman"/>
      <w:color w:val="000000"/>
      <w:sz w:val="28"/>
      <w:szCs w:val="28"/>
      <w:lang w:eastAsia="ru-RU"/>
    </w:rPr>
  </w:style>
  <w:style w:type="paragraph" w:customStyle="1" w:styleId="fontstyle7">
    <w:name w:val="fontstyle7"/>
    <w:basedOn w:val="a"/>
    <w:uiPriority w:val="99"/>
    <w:rsid w:val="006A7AB3"/>
    <w:pPr>
      <w:spacing w:before="100" w:beforeAutospacing="1" w:after="100" w:afterAutospacing="1" w:line="240" w:lineRule="auto"/>
    </w:pPr>
    <w:rPr>
      <w:rFonts w:ascii="Times New Roman" w:eastAsia="Times New Roman" w:hAnsi="Times New Roman" w:cs="Times New Roman"/>
      <w:i/>
      <w:iCs/>
      <w:color w:val="000000"/>
      <w:sz w:val="28"/>
      <w:szCs w:val="28"/>
      <w:lang w:eastAsia="ru-RU"/>
    </w:rPr>
  </w:style>
  <w:style w:type="paragraph" w:customStyle="1" w:styleId="fontstyle8">
    <w:name w:val="fontstyle8"/>
    <w:basedOn w:val="a"/>
    <w:uiPriority w:val="99"/>
    <w:rsid w:val="006A7AB3"/>
    <w:pPr>
      <w:spacing w:before="100" w:beforeAutospacing="1" w:after="100" w:afterAutospacing="1" w:line="240" w:lineRule="auto"/>
    </w:pPr>
    <w:rPr>
      <w:rFonts w:ascii="Times" w:eastAsia="Times New Roman" w:hAnsi="Times" w:cs="Times New Roman"/>
      <w:color w:val="000000"/>
      <w:sz w:val="28"/>
      <w:szCs w:val="28"/>
      <w:lang w:eastAsia="ru-RU"/>
    </w:rPr>
  </w:style>
  <w:style w:type="paragraph" w:customStyle="1" w:styleId="fontstyle9">
    <w:name w:val="fontstyle9"/>
    <w:basedOn w:val="a"/>
    <w:uiPriority w:val="99"/>
    <w:rsid w:val="006A7AB3"/>
    <w:pPr>
      <w:spacing w:before="100" w:beforeAutospacing="1" w:after="100" w:afterAutospacing="1" w:line="240" w:lineRule="auto"/>
    </w:pPr>
    <w:rPr>
      <w:rFonts w:ascii="Times" w:eastAsia="Times New Roman" w:hAnsi="Times" w:cs="Times New Roman"/>
      <w:b/>
      <w:bCs/>
      <w:color w:val="000000"/>
      <w:sz w:val="28"/>
      <w:szCs w:val="28"/>
      <w:lang w:eastAsia="ru-RU"/>
    </w:rPr>
  </w:style>
  <w:style w:type="paragraph" w:customStyle="1" w:styleId="afc">
    <w:name w:val="Знак Знак Знак Знак"/>
    <w:basedOn w:val="a"/>
    <w:uiPriority w:val="99"/>
    <w:rsid w:val="006A7AB3"/>
    <w:pPr>
      <w:spacing w:after="160" w:line="240" w:lineRule="exact"/>
      <w:jc w:val="both"/>
    </w:pPr>
    <w:rPr>
      <w:rFonts w:ascii="Verdana" w:eastAsia="Times New Roman" w:hAnsi="Verdana" w:cs="Verdana"/>
      <w:sz w:val="20"/>
      <w:szCs w:val="20"/>
      <w:lang w:val="en-US" w:bidi="pa-IN"/>
    </w:rPr>
  </w:style>
  <w:style w:type="paragraph" w:customStyle="1" w:styleId="NoSpacing1">
    <w:name w:val="No Spacing1"/>
    <w:uiPriority w:val="99"/>
    <w:rsid w:val="006A7AB3"/>
    <w:pPr>
      <w:spacing w:after="0" w:line="240" w:lineRule="auto"/>
    </w:pPr>
    <w:rPr>
      <w:rFonts w:ascii="Times New Roman" w:eastAsia="Times New Roman" w:hAnsi="Times New Roman" w:cs="Times New Roman"/>
      <w:sz w:val="28"/>
      <w:szCs w:val="20"/>
      <w:lang w:eastAsia="ru-RU"/>
    </w:rPr>
  </w:style>
  <w:style w:type="paragraph" w:customStyle="1" w:styleId="zpage">
    <w:name w:val="zpage"/>
    <w:basedOn w:val="a"/>
    <w:uiPriority w:val="99"/>
    <w:rsid w:val="006A7AB3"/>
    <w:pPr>
      <w:spacing w:before="100" w:beforeAutospacing="1" w:after="100" w:afterAutospacing="1" w:line="240" w:lineRule="auto"/>
    </w:pPr>
    <w:rPr>
      <w:rFonts w:ascii="Times New Roman" w:eastAsia="Calibri" w:hAnsi="Times New Roman" w:cs="Times New Roman"/>
      <w:sz w:val="28"/>
      <w:szCs w:val="24"/>
      <w:lang w:eastAsia="ru-RU"/>
    </w:rPr>
  </w:style>
  <w:style w:type="paragraph" w:customStyle="1" w:styleId="ListParagraph1">
    <w:name w:val="List Paragraph1"/>
    <w:basedOn w:val="a"/>
    <w:uiPriority w:val="99"/>
    <w:rsid w:val="006A7AB3"/>
    <w:pPr>
      <w:ind w:left="720"/>
    </w:pPr>
    <w:rPr>
      <w:rFonts w:ascii="Calibri" w:eastAsia="Calibri" w:hAnsi="Calibri" w:cs="Calibri"/>
    </w:rPr>
  </w:style>
  <w:style w:type="paragraph" w:customStyle="1" w:styleId="TableParagraph">
    <w:name w:val="Table Paragraph"/>
    <w:basedOn w:val="a"/>
    <w:uiPriority w:val="1"/>
    <w:qFormat/>
    <w:rsid w:val="006A7AB3"/>
    <w:pPr>
      <w:widowControl w:val="0"/>
      <w:spacing w:after="0" w:line="223" w:lineRule="exact"/>
    </w:pPr>
    <w:rPr>
      <w:rFonts w:ascii="Times New Roman" w:eastAsia="Times New Roman" w:hAnsi="Times New Roman" w:cs="Times New Roman"/>
      <w:lang w:val="en-US"/>
    </w:rPr>
  </w:style>
  <w:style w:type="character" w:customStyle="1" w:styleId="25">
    <w:name w:val="Основной текст (2)_"/>
    <w:basedOn w:val="a0"/>
    <w:link w:val="26"/>
    <w:locked/>
    <w:rsid w:val="006A7AB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A7AB3"/>
    <w:pPr>
      <w:widowControl w:val="0"/>
      <w:shd w:val="clear" w:color="auto" w:fill="FFFFFF"/>
      <w:spacing w:after="0" w:line="278" w:lineRule="exact"/>
    </w:pPr>
    <w:rPr>
      <w:rFonts w:ascii="Times New Roman" w:eastAsia="Times New Roman" w:hAnsi="Times New Roman" w:cs="Times New Roman"/>
    </w:rPr>
  </w:style>
  <w:style w:type="paragraph" w:customStyle="1" w:styleId="western">
    <w:name w:val="western"/>
    <w:basedOn w:val="a"/>
    <w:uiPriority w:val="99"/>
    <w:rsid w:val="006A7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Абзац списка2"/>
    <w:basedOn w:val="a"/>
    <w:uiPriority w:val="99"/>
    <w:qFormat/>
    <w:rsid w:val="006A7AB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body">
    <w:name w:val="Text body"/>
    <w:basedOn w:val="a"/>
    <w:uiPriority w:val="99"/>
    <w:rsid w:val="006A7AB3"/>
    <w:pPr>
      <w:suppressAutoHyphens/>
      <w:autoSpaceDN w:val="0"/>
      <w:spacing w:after="140"/>
    </w:pPr>
    <w:rPr>
      <w:rFonts w:ascii="Liberation Serif" w:eastAsia="NSimSun" w:hAnsi="Liberation Serif" w:cs="Lucida Sans"/>
      <w:kern w:val="3"/>
      <w:sz w:val="24"/>
      <w:szCs w:val="24"/>
      <w:lang w:eastAsia="zh-CN" w:bidi="hi-IN"/>
    </w:rPr>
  </w:style>
  <w:style w:type="character" w:customStyle="1" w:styleId="6">
    <w:name w:val="Основной шрифт абзаца6"/>
    <w:rsid w:val="006A7AB3"/>
  </w:style>
  <w:style w:type="character" w:customStyle="1" w:styleId="freebirdformviewerviewitemsitemrequiredasterisk">
    <w:name w:val="freebirdformviewerviewitemsitemrequiredasterisk"/>
    <w:basedOn w:val="a0"/>
    <w:rsid w:val="006A7AB3"/>
  </w:style>
  <w:style w:type="character" w:customStyle="1" w:styleId="ez-toc-section">
    <w:name w:val="ez-toc-section"/>
    <w:basedOn w:val="a0"/>
    <w:rsid w:val="006A7AB3"/>
  </w:style>
  <w:style w:type="character" w:customStyle="1" w:styleId="freebirdanalyticsviewquestiontitle">
    <w:name w:val="freebirdanalyticsviewquestiontitle"/>
    <w:basedOn w:val="a0"/>
    <w:rsid w:val="006A7AB3"/>
  </w:style>
  <w:style w:type="character" w:customStyle="1" w:styleId="freebirdanalyticsviewquestionresponsescount">
    <w:name w:val="freebirdanalyticsviewquestionresponsescount"/>
    <w:basedOn w:val="a0"/>
    <w:rsid w:val="006A7AB3"/>
  </w:style>
  <w:style w:type="character" w:customStyle="1" w:styleId="fontstyle01">
    <w:name w:val="fontstyle01"/>
    <w:basedOn w:val="a0"/>
    <w:rsid w:val="006A7AB3"/>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6A7AB3"/>
    <w:rPr>
      <w:rFonts w:ascii="Times New Roman" w:hAnsi="Times New Roman" w:cs="Times New Roman" w:hint="default"/>
      <w:b w:val="0"/>
      <w:bCs w:val="0"/>
      <w:i/>
      <w:iCs/>
      <w:color w:val="000000"/>
      <w:sz w:val="28"/>
      <w:szCs w:val="28"/>
    </w:rPr>
  </w:style>
  <w:style w:type="character" w:customStyle="1" w:styleId="fontstyle31">
    <w:name w:val="fontstyle31"/>
    <w:basedOn w:val="a0"/>
    <w:rsid w:val="006A7AB3"/>
    <w:rPr>
      <w:rFonts w:ascii="Times New Roman" w:hAnsi="Times New Roman" w:cs="Times New Roman" w:hint="default"/>
      <w:b w:val="0"/>
      <w:bCs w:val="0"/>
      <w:i w:val="0"/>
      <w:iCs w:val="0"/>
      <w:color w:val="000000"/>
      <w:sz w:val="28"/>
      <w:szCs w:val="28"/>
    </w:rPr>
  </w:style>
  <w:style w:type="character" w:customStyle="1" w:styleId="fontstyle41">
    <w:name w:val="fontstyle41"/>
    <w:basedOn w:val="a0"/>
    <w:rsid w:val="006A7AB3"/>
    <w:rPr>
      <w:rFonts w:ascii="Sylfaen" w:hAnsi="Sylfaen" w:hint="default"/>
      <w:b w:val="0"/>
      <w:bCs w:val="0"/>
      <w:i w:val="0"/>
      <w:iCs w:val="0"/>
      <w:color w:val="000000"/>
      <w:sz w:val="28"/>
      <w:szCs w:val="28"/>
    </w:rPr>
  </w:style>
  <w:style w:type="character" w:customStyle="1" w:styleId="fontstyle51">
    <w:name w:val="fontstyle51"/>
    <w:basedOn w:val="a0"/>
    <w:rsid w:val="006A7AB3"/>
    <w:rPr>
      <w:rFonts w:ascii="Calibri" w:hAnsi="Calibri" w:cs="Calibri" w:hint="default"/>
      <w:b w:val="0"/>
      <w:bCs w:val="0"/>
      <w:i w:val="0"/>
      <w:iCs w:val="0"/>
      <w:color w:val="000000"/>
      <w:sz w:val="20"/>
      <w:szCs w:val="20"/>
    </w:rPr>
  </w:style>
  <w:style w:type="character" w:customStyle="1" w:styleId="fontstyle61">
    <w:name w:val="fontstyle61"/>
    <w:basedOn w:val="a0"/>
    <w:rsid w:val="006A7AB3"/>
    <w:rPr>
      <w:rFonts w:ascii="Wingdings" w:hAnsi="Wingdings" w:hint="default"/>
      <w:b w:val="0"/>
      <w:bCs w:val="0"/>
      <w:i w:val="0"/>
      <w:iCs w:val="0"/>
      <w:color w:val="000000"/>
      <w:sz w:val="28"/>
      <w:szCs w:val="28"/>
    </w:rPr>
  </w:style>
  <w:style w:type="character" w:customStyle="1" w:styleId="fontstyle71">
    <w:name w:val="fontstyle71"/>
    <w:basedOn w:val="a0"/>
    <w:rsid w:val="006A7AB3"/>
    <w:rPr>
      <w:rFonts w:ascii="Times New Roman" w:hAnsi="Times New Roman" w:cs="Times New Roman" w:hint="default"/>
      <w:b w:val="0"/>
      <w:bCs w:val="0"/>
      <w:i/>
      <w:iCs/>
      <w:color w:val="000000"/>
      <w:sz w:val="28"/>
      <w:szCs w:val="28"/>
    </w:rPr>
  </w:style>
  <w:style w:type="character" w:customStyle="1" w:styleId="fontstyle81">
    <w:name w:val="fontstyle81"/>
    <w:basedOn w:val="a0"/>
    <w:rsid w:val="006A7AB3"/>
    <w:rPr>
      <w:rFonts w:ascii="Times" w:hAnsi="Times" w:cs="Times" w:hint="default"/>
      <w:b w:val="0"/>
      <w:bCs w:val="0"/>
      <w:i w:val="0"/>
      <w:iCs w:val="0"/>
      <w:color w:val="000000"/>
      <w:sz w:val="28"/>
      <w:szCs w:val="28"/>
    </w:rPr>
  </w:style>
  <w:style w:type="character" w:customStyle="1" w:styleId="fontstyle91">
    <w:name w:val="fontstyle91"/>
    <w:basedOn w:val="a0"/>
    <w:rsid w:val="006A7AB3"/>
    <w:rPr>
      <w:rFonts w:ascii="Times" w:hAnsi="Times" w:cs="Times" w:hint="default"/>
      <w:b/>
      <w:bCs/>
      <w:i w:val="0"/>
      <w:iCs w:val="0"/>
      <w:color w:val="000000"/>
      <w:sz w:val="28"/>
      <w:szCs w:val="28"/>
    </w:rPr>
  </w:style>
  <w:style w:type="character" w:customStyle="1" w:styleId="dash041e005f0431005f044b005f0447005f043d005f044b005f04391005f005fchar1char1">
    <w:name w:val="dash041e_005f0431_005f044b_005f0447_005f043d_005f044b_005f04391_005f_005fchar1__char1"/>
    <w:uiPriority w:val="99"/>
    <w:rsid w:val="006A7AB3"/>
    <w:rPr>
      <w:rFonts w:ascii="Times New Roman" w:hAnsi="Times New Roman" w:cs="Times New Roman" w:hint="default"/>
      <w:strike w:val="0"/>
      <w:dstrike w:val="0"/>
      <w:sz w:val="20"/>
      <w:u w:val="none"/>
      <w:effect w:val="none"/>
    </w:rPr>
  </w:style>
  <w:style w:type="character" w:customStyle="1" w:styleId="BodyTextChar">
    <w:name w:val="Body Text Char"/>
    <w:basedOn w:val="a0"/>
    <w:uiPriority w:val="99"/>
    <w:locked/>
    <w:rsid w:val="006A7AB3"/>
    <w:rPr>
      <w:rFonts w:ascii="Times New Roman" w:eastAsia="Times New Roman" w:hAnsi="Times New Roman" w:cs="Times New Roman" w:hint="default"/>
      <w:sz w:val="24"/>
      <w:lang w:val="ru-RU" w:eastAsia="ru-RU"/>
    </w:rPr>
  </w:style>
  <w:style w:type="character" w:customStyle="1" w:styleId="7">
    <w:name w:val="Знак Знак7"/>
    <w:uiPriority w:val="99"/>
    <w:rsid w:val="006A7AB3"/>
    <w:rPr>
      <w:rFonts w:ascii="Calibri" w:hAnsi="Calibri" w:cs="Calibri" w:hint="default"/>
    </w:rPr>
  </w:style>
  <w:style w:type="character" w:customStyle="1" w:styleId="Zag11">
    <w:name w:val="Zag_11"/>
    <w:uiPriority w:val="99"/>
    <w:rsid w:val="006A7AB3"/>
  </w:style>
  <w:style w:type="character" w:customStyle="1" w:styleId="dash041e0431044b0447043d044b0439char1">
    <w:name w:val="dash041e_0431_044b_0447_043d_044b_0439__char1"/>
    <w:uiPriority w:val="99"/>
    <w:rsid w:val="006A7AB3"/>
    <w:rPr>
      <w:rFonts w:ascii="Times New Roman" w:hAnsi="Times New Roman" w:cs="Times New Roman" w:hint="default"/>
      <w:strike w:val="0"/>
      <w:dstrike w:val="0"/>
      <w:sz w:val="24"/>
      <w:u w:val="none"/>
      <w:effect w:val="none"/>
    </w:rPr>
  </w:style>
  <w:style w:type="character" w:customStyle="1" w:styleId="apple-style-span">
    <w:name w:val="apple-style-span"/>
    <w:basedOn w:val="a0"/>
    <w:rsid w:val="006A7AB3"/>
  </w:style>
  <w:style w:type="table" w:customStyle="1" w:styleId="28">
    <w:name w:val="Сетка таблицы2"/>
    <w:basedOn w:val="a1"/>
    <w:uiPriority w:val="59"/>
    <w:rsid w:val="006A7A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9305</Words>
  <Characters>53043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Жуковицкая Наталья Николаевна</dc:creator>
  <cp:keywords/>
  <dc:description/>
  <cp:lastModifiedBy>Жуковицкая Наталья Николаевна</cp:lastModifiedBy>
  <cp:revision>3</cp:revision>
  <cp:lastPrinted>2019-02-12T14:18:00Z</cp:lastPrinted>
  <dcterms:created xsi:type="dcterms:W3CDTF">2019-10-24T10:23:00Z</dcterms:created>
  <dcterms:modified xsi:type="dcterms:W3CDTF">2019-10-24T10:23:00Z</dcterms:modified>
</cp:coreProperties>
</file>