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A4" w:rsidRDefault="00437FA4" w:rsidP="004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Региональные показатели эффективности деятельности муниципальных методических служб по поддержке молодых педагогов </w:t>
      </w:r>
    </w:p>
    <w:p w:rsidR="00437FA4" w:rsidRDefault="00437FA4" w:rsidP="004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реализации программ наставничества в Ленинградской области</w:t>
      </w:r>
    </w:p>
    <w:p w:rsidR="00437FA4" w:rsidRDefault="00437FA4" w:rsidP="004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3831"/>
        <w:gridCol w:w="1275"/>
        <w:gridCol w:w="1418"/>
        <w:gridCol w:w="1417"/>
        <w:gridCol w:w="2835"/>
        <w:gridCol w:w="2417"/>
      </w:tblGrid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 обоснованной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системе – 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Соответствует частично – 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соответствует обоснованной системе – 0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Инструменты измерения показателя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нормативных правовых документов, обеспечивающих поддержку и профессиональный рост молодых педагогов в первые три года практической деятельности, в том числе, в форме «горизонтального»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наставничестве, работе с молодыми учителями; муниципальный проект «Школа молодого учителя»;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(чел,</w:t>
            </w:r>
            <w:r w:rsidRPr="00BF28B7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молодых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-лей принято в ОО 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года; % оставшихся работать в ОО.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молодых учителей.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методических рекомендаций  по оказанию помощи и поддержки работы молодых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практикоориетированность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учет социально-педагогических и других особенностей и возможностей ОО в методических  рекомендациях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руководителей ОО, молодых специалистов, наставников с целью выявления значимости  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методрекомендаций</w:t>
            </w:r>
            <w:proofErr w:type="spellEnd"/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муниципальных нормативных правовых документов  по оказанию практической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 педагогам  экспертов из числа ведущих  специалистов и экспертов образовательных организаций ОО, высшего и дополнительного образования, деятелей науки, культуры,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Сколько, из каких учреждений, когда привлечено внутренних и внешних экспертов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документами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экспертиза документов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 (сервиса), обеспечивающего реализацию механизма помощи и поддержки молодых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 базы данных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 версии СМИ;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сервисы (сайты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ОО, блоги и др.);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-Ресурсы сетевых корпоративных сообществ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83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ационных </w:t>
            </w:r>
            <w:r w:rsidRPr="00EA5883">
              <w:rPr>
                <w:rFonts w:ascii="Times New Roman" w:hAnsi="Times New Roman" w:cs="Times New Roman"/>
                <w:sz w:val="24"/>
                <w:szCs w:val="24"/>
              </w:rPr>
              <w:t>ресурсов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FA4" w:rsidRPr="00EA5883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A5883">
              <w:rPr>
                <w:rFonts w:ascii="Times New Roman" w:hAnsi="Times New Roman" w:cs="Times New Roman"/>
                <w:sz w:val="24"/>
                <w:szCs w:val="24"/>
              </w:rPr>
              <w:t>уровне ОО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поддержки педагогических работников  в первые три года  практической деятельности, в том числе, в форме «горизонтального» повышения квалификации и в форме наставничества, а также проведение обучающих активностей с привлечением действующих наставников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горизонтального  ПК молодых: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-Рефлексивное наблюдение и активная практика;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на практических примерах и ситуациях;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профессионального общения;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 учетом </w:t>
            </w:r>
            <w:r w:rsidRPr="00EA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личность учителя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-паритетности;</w:t>
            </w:r>
            <w:r w:rsidRPr="00EA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-динамичности;</w:t>
            </w:r>
            <w:r w:rsidRPr="00EA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-осознанной перспективы;</w:t>
            </w:r>
            <w:r w:rsidRPr="00EA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FA4" w:rsidRPr="00EA5883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-непрерывности;</w:t>
            </w:r>
            <w:r w:rsidRPr="00EA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овышения мотивации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сообществ молодых педагогов, их поддержки, в том числе  через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наставничества, направленного на адаптацию специалистов на  основе передачи опыта, обеспечения оптимального использования времени и ресурсов для приобретения ими необходимых профессиональных качеств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-Кол-во клубов молодых учителей в ОО, районе;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 в ОО, районе;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-Формы мотивации развития наставничества в районе, ОО;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-Формы изучения  и трансляция лучшего опыта наставничества в ОО, районе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Анализ: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-кол-во клубов: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было-стало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молодых учителей имеют наставников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%;</w:t>
            </w:r>
            <w:proofErr w:type="gramEnd"/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 классы мастеров-наставников – сколько, тенденции за три года;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поощрения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наставников-сколько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три года 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 наставничества  молодых и малоопытных педагогов в муниципальной образовательной системе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-Открытые мастер-классы молодых учителей;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-Слет молодых учителей с приглашением наставников;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-Зимние (летние) школы молодых учителей;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молодых учителей в конкурсах профессионального мастерства разного уровня;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-Печатные работы молодых учителей (в том числе, в электронном виде)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(количественный и качественный) проведения перечисленных и других форм работы (за три года): сколько проведено, сколько участвовало, выявленные тенденции, проблемы. Вектор развития (перспективы)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 формирование и поддержку сообщества молодых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форм наставничества в муниципальной образовательной системе с привлечением руководителей и заместителей руководителей  ОО 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-кол-во наставников-руководителей;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 работы с молодыми учителями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августовских педсоветах;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опыта работы с молодыми на самоотчете руководителя ОО;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формы ПК для руководителей МО с включением вопросов наставничества;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-трансляция лучшего опыта работы руководителей ОО с молодыми на муниципальном уровне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(количественный и качественный)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перечисленных и других форм работы (за три года): сколько проведено, сколько участвовало, выявленные тенденции, проблемы. Вектор развития (перспективы)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муниципального профессионального обучающегося сообщества   для обмена практиками развития системы наставничества (в том числе, социальных сетей)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Pr="00EA056C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и использование на муниципальном уровне и уровне ОО Интернет-ресурса (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текстовой, графической и мультимедийной форме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5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Качественный и количественный анализ используемых Интернет-ресурсов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веб-ресурсы или веб-сайты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веб-сервис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сайт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индивидуальные и ОО</w:t>
            </w:r>
            <w:r w:rsidRPr="00EA0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сколько, какие ресурсы, тенденции развития за три года и перспективы)</w:t>
            </w:r>
            <w:proofErr w:type="gramEnd"/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взаимодействия  с ведущими ОО высшего и дополни тельного профессионального образования, научными центрами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психолого-педагогического и научно-методического сопровождения профессионального развития (становления) молодого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-Договоры сотрудничества, взаимодействия; 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-совместные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профессионального мастерства, работы над педагогическими затруднениями молодых учителей;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слетов, научно-практических конференций;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-научное руководство  деятельностью наставников и др.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(количественный и качественный)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перечисленных и других форм взаимодействия (за три года): сколько проведено, сколько участвовало, выявленные тенденции, проблемы. Вектор развития (перспективы)</w:t>
            </w:r>
          </w:p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обучающего выездного мероприятия в учебном году с участием наставников,  имеющих в данной сфере положительный практический опыт, и молодых специалистов муниципальной системы общего образования в возрасте не старше 35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выездного мероприятия, программа работы, количество участников, место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проведенного мероприятия: актуальность темы, цели, интерактивный характер,  отзывы молодых учителей-участников. Перспективы дальнейшей работы.</w:t>
            </w:r>
          </w:p>
        </w:tc>
      </w:tr>
      <w:tr w:rsidR="00437FA4" w:rsidTr="009C170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Итого*: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A4" w:rsidRDefault="00437FA4" w:rsidP="009C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FA4" w:rsidRDefault="00437FA4" w:rsidP="0043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FA4" w:rsidRDefault="00437FA4" w:rsidP="00437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</w:rPr>
        <w:t>17-22 балла – высокая эффективность деятельности муниципальных методических служб;</w:t>
      </w:r>
    </w:p>
    <w:p w:rsidR="00437FA4" w:rsidRDefault="00437FA4" w:rsidP="00437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12-15 баллов – средняя эффективность деятельности муниципальных методических служб;</w:t>
      </w:r>
    </w:p>
    <w:p w:rsidR="00437FA4" w:rsidRDefault="00437FA4" w:rsidP="00437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менее 12 баллов -  низкая эффективность деятельности муниципальных методических служб</w:t>
      </w:r>
    </w:p>
    <w:p w:rsidR="00437FA4" w:rsidRDefault="00437FA4" w:rsidP="00437FA4">
      <w:pPr>
        <w:pStyle w:val="a4"/>
        <w:tabs>
          <w:tab w:val="left" w:pos="1218"/>
        </w:tabs>
        <w:spacing w:before="150" w:beforeAutospacing="0" w:after="150" w:afterAutospacing="0"/>
        <w:ind w:left="150" w:right="150"/>
        <w:rPr>
          <w:color w:val="000000"/>
        </w:rPr>
      </w:pPr>
      <w:r>
        <w:rPr>
          <w:color w:val="000000"/>
        </w:rPr>
        <w:tab/>
      </w:r>
    </w:p>
    <w:p w:rsidR="00437FA4" w:rsidRDefault="00437FA4" w:rsidP="00437FA4">
      <w:pPr>
        <w:pStyle w:val="a4"/>
        <w:tabs>
          <w:tab w:val="left" w:pos="1218"/>
        </w:tabs>
        <w:spacing w:before="150" w:beforeAutospacing="0" w:after="150" w:afterAutospacing="0"/>
        <w:ind w:left="150" w:right="150"/>
        <w:rPr>
          <w:color w:val="000000"/>
        </w:rPr>
      </w:pPr>
    </w:p>
    <w:p w:rsidR="002931B9" w:rsidRDefault="002931B9"/>
    <w:sectPr w:rsidR="002931B9" w:rsidSect="00437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8"/>
    <w:rsid w:val="002931B9"/>
    <w:rsid w:val="00437FA4"/>
    <w:rsid w:val="00B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2020-07-24T19:55:00Z</dcterms:created>
  <dcterms:modified xsi:type="dcterms:W3CDTF">2020-07-24T19:56:00Z</dcterms:modified>
</cp:coreProperties>
</file>