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default"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План</w:t>
      </w:r>
      <w:r>
        <w:rPr>
          <w:rFonts w:hint="default"/>
          <w:b/>
          <w:bCs/>
          <w:sz w:val="36"/>
          <w:szCs w:val="36"/>
          <w:lang w:val="ru-RU"/>
        </w:rPr>
        <w:t xml:space="preserve"> работы Ассоциации новых школ на 2023 год 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5599"/>
        <w:gridCol w:w="2217"/>
        <w:gridCol w:w="2082"/>
        <w:gridCol w:w="2188"/>
        <w:gridCol w:w="2810"/>
      </w:tblGrid>
      <w:tr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  <w:vertAlign w:val="baseline"/>
                <w:lang w:val="ru-RU"/>
              </w:rPr>
              <w:t>№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  <w:vertAlign w:val="baseline"/>
                <w:lang w:val="ru-RU"/>
              </w:rPr>
              <w:t>Мероприятие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  <w:vertAlign w:val="baseline"/>
                <w:lang w:val="ru-RU"/>
              </w:rPr>
              <w:t>Место и время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  <w:vertAlign w:val="baseline"/>
                <w:lang w:val="ru-RU"/>
              </w:rPr>
              <w:t>Ответственные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hint="default"/>
                <w:b/>
                <w:bCs/>
                <w:sz w:val="36"/>
                <w:szCs w:val="36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  <w:vertAlign w:val="baseline"/>
                <w:lang w:val="ru-RU"/>
              </w:rPr>
              <w:t>Примечание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Проблемный семинар №1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Развитие кадрового потенциала в новой школе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 xml:space="preserve">16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февраля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Шлиссельбургская СОШ №1, 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2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Первое заседание клуба директоров Ассоциации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Школа, устремлённая в будущее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20 апреля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ЛОИРО, 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Карпушов А.Э.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Первое заседание будет совмещено с записью эфира о современной школе для проекта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“Ne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Педагогика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3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Проблемный семинар №2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Создание образовательных центров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 xml:space="preserve">: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эффективные механизмы объединения школы и детского сада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22 июня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Кудровский ЦО №2, 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4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Проблемный семинар №3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Развитие сетевого сотрудничества и социального партнёрства  новой школы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28 сентября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согласованию,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5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Заседание клуба директоров Ассоциации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Образовательная среда и ресурсы для новой школы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19 октября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согласованию,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Карпушов А.Э.,</w:t>
            </w: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6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Проблемный семинар №4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Инклюзивное образование в новой школе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23 ноября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согласованию,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Межрегиональная конференция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“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Школа, устремлённая в будущее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”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6 декабря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согласованию,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Планирование работы ассоциации на 2024 год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8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Итоговое заседание клуба директоров Ассоциации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21 декабря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ЛОИРО,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Карпушов А.Э.,</w:t>
            </w: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Подведение итогов года, утверждение плана работы ассоциации на 2024 год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Консультирование школ - членов Ассоциации (научно-методическое сопровождение)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В течение года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(3-й четверг месяца)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согласованию,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Карпушов А.Э.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По предварительной записи через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Telegram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Работа сетевых консультационных площадок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В течение года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По согласованию, </w:t>
            </w:r>
          </w:p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11.00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По предварительной записи через </w:t>
            </w: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en-US"/>
              </w:rPr>
              <w:t>Telegram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11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Совместные мероприятия с межмуниципальной лабораторией эффективных управленческих и педагогических практик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В течение года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 xml:space="preserve">Карпушов А.Э, </w:t>
            </w: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Совет ассоциации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отдельному плану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12</w:t>
            </w:r>
          </w:p>
        </w:tc>
        <w:tc>
          <w:tcPr>
            <w:tcW w:w="5599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Совещания совета Ассоциации</w:t>
            </w:r>
          </w:p>
        </w:tc>
        <w:tc>
          <w:tcPr>
            <w:tcW w:w="2217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В течение года</w:t>
            </w:r>
          </w:p>
        </w:tc>
        <w:tc>
          <w:tcPr>
            <w:tcW w:w="2082" w:type="dxa"/>
            <w:tcBorders/>
          </w:tcPr>
          <w:p>
            <w:pPr>
              <w:pStyle w:val="style0"/>
              <w:widowControl w:val="false"/>
              <w:jc w:val="center"/>
              <w:rPr>
                <w:rFonts w:ascii="Times New Roman" w:cs="Times New Roman" w:hAnsi="Times New Roman"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По согласованию</w:t>
            </w:r>
          </w:p>
        </w:tc>
        <w:tc>
          <w:tcPr>
            <w:tcW w:w="2188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Карпушов А.Э,</w:t>
            </w: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Граков А.С.,</w:t>
            </w:r>
          </w:p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Пучкова Е.Ю.</w:t>
            </w:r>
          </w:p>
        </w:tc>
        <w:tc>
          <w:tcPr>
            <w:tcW w:w="2810" w:type="dxa"/>
            <w:tcBorders/>
          </w:tcPr>
          <w:p>
            <w:pPr>
              <w:pStyle w:val="style0"/>
              <w:widowControl w:val="false"/>
              <w:jc w:val="both"/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Times New Roman" w:cs="Times New Roman" w:hAnsi="Times New Roman" w:hint="default"/>
                <w:b w:val="false"/>
                <w:bCs w:val="false"/>
                <w:sz w:val="22"/>
                <w:szCs w:val="22"/>
                <w:vertAlign w:val="baseline"/>
                <w:lang w:val="ru-RU"/>
              </w:rPr>
              <w:t>Совещания проводятся в дистанционном формате</w:t>
            </w:r>
          </w:p>
        </w:tc>
      </w:tr>
    </w:tbl>
    <w:p>
      <w:pPr>
        <w:pStyle w:val="style0"/>
        <w:jc w:val="both"/>
        <w:rPr>
          <w:rFonts w:hint="default"/>
          <w:b w:val="false"/>
          <w:bCs w:val="false"/>
          <w:sz w:val="28"/>
          <w:szCs w:val="28"/>
          <w:lang w:val="ru-RU"/>
        </w:rPr>
      </w:pPr>
    </w:p>
    <w:bookmarkStart w:id="0" w:name="_GoBack"/>
    <w:bookmarkEnd w:id="0"/>
    <w:p>
      <w:pPr>
        <w:pStyle w:val="style0"/>
        <w:jc w:val="both"/>
        <w:rPr>
          <w:rFonts w:hint="default"/>
          <w:b w:val="false"/>
          <w:bCs w:val="false"/>
          <w:sz w:val="28"/>
          <w:szCs w:val="28"/>
          <w:lang w:val="ru-RU"/>
        </w:rPr>
      </w:pPr>
    </w:p>
    <w:sectPr>
      <w:pgSz w:w="16838" w:h="11906" w:orient="landscape"/>
      <w:pgMar w:top="400" w:right="840" w:bottom="906" w:left="79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7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Words>270</Words>
  <Pages>1</Pages>
  <Characters>1764</Characters>
  <Application>WPS Office</Application>
  <DocSecurity>0</DocSecurity>
  <Paragraphs>111</Paragraphs>
  <ScaleCrop>false</ScaleCrop>
  <LinksUpToDate>false</LinksUpToDate>
  <CharactersWithSpaces>1951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2022-12-15T09:56:00Z</dcterms:created>
  <dc:creator>АК</dc:creator>
  <lastModifiedBy>Mi Note 10 Pro</lastModifiedBy>
  <dcterms:modified xsi:type="dcterms:W3CDTF">2023-02-03T09:37:17Z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9da7f4b738a04d57afacb97b09f370a5</vt:lpwstr>
  </property>
</Properties>
</file>